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93" w:rsidRDefault="00870393" w:rsidP="00E73EFB">
      <w:pPr>
        <w:spacing w:before="240" w:after="120"/>
        <w:jc w:val="both"/>
        <w:rPr>
          <w:rFonts w:ascii="Arial" w:hAnsi="Arial" w:cs="Arial"/>
        </w:rPr>
      </w:pPr>
      <w:bookmarkStart w:id="0" w:name="_GoBack"/>
      <w:bookmarkEnd w:id="0"/>
    </w:p>
    <w:p w:rsidR="007E03A5" w:rsidRDefault="00870393" w:rsidP="00E73EFB">
      <w:pPr>
        <w:spacing w:before="240" w:after="120"/>
        <w:jc w:val="both"/>
        <w:rPr>
          <w:rFonts w:ascii="Arial" w:hAnsi="Arial" w:cs="Arial"/>
        </w:rPr>
      </w:pPr>
      <w:r>
        <w:rPr>
          <w:rFonts w:ascii="Arial" w:hAnsi="Arial" w:cs="Arial"/>
        </w:rPr>
        <w:t>26</w:t>
      </w:r>
      <w:r w:rsidR="007E03A5">
        <w:rPr>
          <w:rFonts w:ascii="Arial" w:hAnsi="Arial" w:cs="Arial"/>
        </w:rPr>
        <w:t xml:space="preserve"> April 2013</w:t>
      </w:r>
    </w:p>
    <w:p w:rsidR="00870393" w:rsidRDefault="00870393" w:rsidP="007E03A5">
      <w:pPr>
        <w:spacing w:before="240"/>
        <w:jc w:val="both"/>
        <w:rPr>
          <w:rFonts w:ascii="Arial" w:hAnsi="Arial" w:cs="Arial"/>
        </w:rPr>
      </w:pPr>
    </w:p>
    <w:p w:rsidR="007E03A5" w:rsidRDefault="007E03A5" w:rsidP="007E03A5">
      <w:pPr>
        <w:spacing w:before="240"/>
        <w:jc w:val="both"/>
        <w:rPr>
          <w:rFonts w:ascii="Arial" w:hAnsi="Arial" w:cs="Arial"/>
        </w:rPr>
      </w:pPr>
      <w:r>
        <w:rPr>
          <w:rFonts w:ascii="Arial" w:hAnsi="Arial" w:cs="Arial"/>
        </w:rPr>
        <w:t>Ms Julie Dennett</w:t>
      </w:r>
    </w:p>
    <w:p w:rsidR="007E03A5" w:rsidRDefault="007E03A5" w:rsidP="007E03A5">
      <w:pPr>
        <w:jc w:val="both"/>
        <w:rPr>
          <w:rFonts w:ascii="Arial" w:hAnsi="Arial" w:cs="Arial"/>
        </w:rPr>
      </w:pPr>
      <w:r>
        <w:rPr>
          <w:rFonts w:ascii="Arial" w:hAnsi="Arial" w:cs="Arial"/>
        </w:rPr>
        <w:t>Committee Secretary</w:t>
      </w:r>
    </w:p>
    <w:p w:rsidR="007E03A5" w:rsidRDefault="007E03A5" w:rsidP="007E03A5">
      <w:pPr>
        <w:jc w:val="both"/>
        <w:rPr>
          <w:rFonts w:ascii="Arial" w:hAnsi="Arial" w:cs="Arial"/>
        </w:rPr>
      </w:pPr>
      <w:r>
        <w:rPr>
          <w:rFonts w:ascii="Arial" w:hAnsi="Arial" w:cs="Arial"/>
        </w:rPr>
        <w:t>The Senate Standing Committee on Legal and Constitutional Affairs</w:t>
      </w:r>
    </w:p>
    <w:p w:rsidR="007E03A5" w:rsidRDefault="007E03A5" w:rsidP="007E03A5">
      <w:pPr>
        <w:jc w:val="both"/>
        <w:rPr>
          <w:rFonts w:ascii="Arial" w:hAnsi="Arial" w:cs="Arial"/>
        </w:rPr>
      </w:pPr>
      <w:r>
        <w:rPr>
          <w:rFonts w:ascii="Arial" w:hAnsi="Arial" w:cs="Arial"/>
        </w:rPr>
        <w:t xml:space="preserve">PO </w:t>
      </w:r>
      <w:r w:rsidR="00870393">
        <w:rPr>
          <w:rFonts w:ascii="Arial" w:hAnsi="Arial" w:cs="Arial"/>
        </w:rPr>
        <w:t>Box 6100</w:t>
      </w:r>
    </w:p>
    <w:p w:rsidR="00870393" w:rsidRDefault="00870393" w:rsidP="007E03A5">
      <w:pPr>
        <w:jc w:val="both"/>
        <w:rPr>
          <w:rFonts w:ascii="Arial" w:hAnsi="Arial" w:cs="Arial"/>
        </w:rPr>
      </w:pPr>
      <w:r>
        <w:rPr>
          <w:rFonts w:ascii="Arial" w:hAnsi="Arial" w:cs="Arial"/>
        </w:rPr>
        <w:t>Parliament House</w:t>
      </w:r>
    </w:p>
    <w:p w:rsidR="00870393" w:rsidRDefault="00870393" w:rsidP="007E03A5">
      <w:pPr>
        <w:jc w:val="both"/>
        <w:rPr>
          <w:rFonts w:ascii="Arial" w:hAnsi="Arial" w:cs="Arial"/>
        </w:rPr>
      </w:pPr>
      <w:r>
        <w:rPr>
          <w:rFonts w:ascii="Arial" w:hAnsi="Arial" w:cs="Arial"/>
        </w:rPr>
        <w:t>CANBERRA ACT 2600</w:t>
      </w:r>
    </w:p>
    <w:p w:rsidR="007E03A5" w:rsidRDefault="007E03A5" w:rsidP="007E03A5">
      <w:pPr>
        <w:jc w:val="both"/>
        <w:rPr>
          <w:rFonts w:ascii="Arial" w:hAnsi="Arial" w:cs="Arial"/>
        </w:rPr>
      </w:pPr>
    </w:p>
    <w:p w:rsidR="007E03A5" w:rsidRPr="00852F10" w:rsidRDefault="007E03A5" w:rsidP="007E03A5">
      <w:pPr>
        <w:jc w:val="both"/>
        <w:rPr>
          <w:rFonts w:ascii="Arial" w:hAnsi="Arial" w:cs="Arial"/>
          <w:lang w:val="fr-FR"/>
        </w:rPr>
      </w:pPr>
      <w:r w:rsidRPr="00852F10">
        <w:rPr>
          <w:rFonts w:ascii="Arial" w:hAnsi="Arial" w:cs="Arial"/>
          <w:lang w:val="fr-FR"/>
        </w:rPr>
        <w:t>legcon.sen@aph.gov.au</w:t>
      </w:r>
    </w:p>
    <w:p w:rsidR="007E03A5" w:rsidRPr="00852F10" w:rsidRDefault="007E03A5" w:rsidP="00E73EFB">
      <w:pPr>
        <w:spacing w:before="240" w:after="120"/>
        <w:jc w:val="both"/>
        <w:rPr>
          <w:rFonts w:ascii="Arial" w:hAnsi="Arial" w:cs="Arial"/>
          <w:lang w:val="fr-FR"/>
        </w:rPr>
      </w:pPr>
    </w:p>
    <w:p w:rsidR="00870393" w:rsidRPr="00852F10" w:rsidRDefault="00870393" w:rsidP="00E73EFB">
      <w:pPr>
        <w:spacing w:before="240" w:after="120"/>
        <w:jc w:val="both"/>
        <w:rPr>
          <w:rFonts w:ascii="Arial" w:hAnsi="Arial" w:cs="Arial"/>
          <w:lang w:val="fr-FR"/>
        </w:rPr>
      </w:pPr>
      <w:proofErr w:type="spellStart"/>
      <w:r w:rsidRPr="00852F10">
        <w:rPr>
          <w:rFonts w:ascii="Arial" w:hAnsi="Arial" w:cs="Arial"/>
          <w:lang w:val="fr-FR"/>
        </w:rPr>
        <w:t>Dear</w:t>
      </w:r>
      <w:proofErr w:type="spellEnd"/>
      <w:r w:rsidRPr="00852F10">
        <w:rPr>
          <w:rFonts w:ascii="Arial" w:hAnsi="Arial" w:cs="Arial"/>
          <w:lang w:val="fr-FR"/>
        </w:rPr>
        <w:t xml:space="preserve"> Ms </w:t>
      </w:r>
      <w:proofErr w:type="spellStart"/>
      <w:r w:rsidRPr="00852F10">
        <w:rPr>
          <w:rFonts w:ascii="Arial" w:hAnsi="Arial" w:cs="Arial"/>
          <w:lang w:val="fr-FR"/>
        </w:rPr>
        <w:t>Dennett</w:t>
      </w:r>
      <w:proofErr w:type="spellEnd"/>
    </w:p>
    <w:p w:rsidR="00455F64" w:rsidRPr="00455F64" w:rsidRDefault="00455F64" w:rsidP="00E73EFB">
      <w:pPr>
        <w:spacing w:before="240" w:after="120"/>
        <w:jc w:val="both"/>
        <w:rPr>
          <w:rFonts w:ascii="Arial" w:hAnsi="Arial" w:cs="Arial"/>
          <w:b/>
          <w:i/>
        </w:rPr>
      </w:pPr>
      <w:r w:rsidRPr="00455F64">
        <w:rPr>
          <w:rFonts w:ascii="Arial" w:hAnsi="Arial" w:cs="Arial"/>
          <w:b/>
          <w:i/>
        </w:rPr>
        <w:t>Sex Discrimination Amendment (Sexual Orientation, Gender Identity and Intersex Status) Bill 2013</w:t>
      </w:r>
    </w:p>
    <w:p w:rsidR="00870393" w:rsidRDefault="00870393" w:rsidP="00E73EFB">
      <w:pPr>
        <w:spacing w:before="240" w:after="120"/>
        <w:jc w:val="both"/>
        <w:rPr>
          <w:rFonts w:ascii="Arial" w:hAnsi="Arial" w:cs="Arial"/>
        </w:rPr>
      </w:pPr>
      <w:r>
        <w:rPr>
          <w:rFonts w:ascii="Arial" w:hAnsi="Arial" w:cs="Arial"/>
        </w:rPr>
        <w:t xml:space="preserve">Thank you for the opportunity to provide a submission to the parliamentary inquiry in relation to the </w:t>
      </w:r>
      <w:r>
        <w:rPr>
          <w:rFonts w:ascii="Arial" w:hAnsi="Arial" w:cs="Arial"/>
          <w:i/>
        </w:rPr>
        <w:t>Sex Discrimination Amendment (Sexual Orientation, Gender Identity and Intersex Status) Bill 2013.</w:t>
      </w:r>
      <w:r>
        <w:rPr>
          <w:rFonts w:ascii="Arial" w:hAnsi="Arial" w:cs="Arial"/>
        </w:rPr>
        <w:t xml:space="preserve">  </w:t>
      </w:r>
    </w:p>
    <w:p w:rsidR="00870393" w:rsidRDefault="00870393" w:rsidP="00870393">
      <w:pPr>
        <w:spacing w:before="240" w:after="120"/>
        <w:jc w:val="both"/>
        <w:rPr>
          <w:rFonts w:ascii="Arial" w:hAnsi="Arial" w:cs="Arial"/>
        </w:rPr>
      </w:pPr>
      <w:r>
        <w:rPr>
          <w:rFonts w:ascii="Arial" w:hAnsi="Arial" w:cs="Arial"/>
        </w:rPr>
        <w:t>The Commission notes that the terms of reference for this inquiry are confined to the provisions of the Bill, and this submission is confined accordingly.</w:t>
      </w:r>
    </w:p>
    <w:p w:rsidR="002E7F41" w:rsidRDefault="00E73EFB" w:rsidP="00E73EFB">
      <w:pPr>
        <w:spacing w:before="240" w:after="120"/>
        <w:jc w:val="both"/>
        <w:rPr>
          <w:rFonts w:ascii="Arial" w:hAnsi="Arial" w:cs="Arial"/>
        </w:rPr>
      </w:pPr>
      <w:r>
        <w:rPr>
          <w:rFonts w:ascii="Arial" w:hAnsi="Arial" w:cs="Arial"/>
        </w:rPr>
        <w:t>The Commission strongly supports the objectives of the Bill of:</w:t>
      </w:r>
    </w:p>
    <w:p w:rsidR="00E73EFB" w:rsidRDefault="00E73EFB" w:rsidP="00E73EFB">
      <w:pPr>
        <w:pStyle w:val="ListParagraph"/>
        <w:numPr>
          <w:ilvl w:val="0"/>
          <w:numId w:val="1"/>
        </w:numPr>
        <w:spacing w:before="240" w:after="120"/>
        <w:contextualSpacing w:val="0"/>
        <w:jc w:val="both"/>
        <w:rPr>
          <w:rFonts w:ascii="Arial" w:hAnsi="Arial" w:cs="Arial"/>
        </w:rPr>
      </w:pPr>
      <w:r>
        <w:rPr>
          <w:rFonts w:ascii="Arial" w:hAnsi="Arial" w:cs="Arial"/>
        </w:rPr>
        <w:t>extending the protection from discrimination to the new grounds of sexual orientation, gender identity and intersex status; and</w:t>
      </w:r>
    </w:p>
    <w:p w:rsidR="00E73EFB" w:rsidRDefault="00E73EFB" w:rsidP="00E73EFB">
      <w:pPr>
        <w:pStyle w:val="ListParagraph"/>
        <w:numPr>
          <w:ilvl w:val="0"/>
          <w:numId w:val="1"/>
        </w:numPr>
        <w:spacing w:before="240" w:after="120"/>
        <w:contextualSpacing w:val="0"/>
        <w:jc w:val="both"/>
        <w:rPr>
          <w:rFonts w:ascii="Arial" w:hAnsi="Arial" w:cs="Arial"/>
        </w:rPr>
      </w:pPr>
      <w:proofErr w:type="gramStart"/>
      <w:r>
        <w:rPr>
          <w:rFonts w:ascii="Arial" w:hAnsi="Arial" w:cs="Arial"/>
        </w:rPr>
        <w:t>extending</w:t>
      </w:r>
      <w:proofErr w:type="gramEnd"/>
      <w:r>
        <w:rPr>
          <w:rFonts w:ascii="Arial" w:hAnsi="Arial" w:cs="Arial"/>
        </w:rPr>
        <w:t xml:space="preserve"> the existing ground of ‘marital status’ to ‘marital or relationship status’ to provide protection from discrimination for same-sex couples.</w:t>
      </w:r>
    </w:p>
    <w:p w:rsidR="00E73EFB" w:rsidRPr="00271502" w:rsidRDefault="00E73EFB" w:rsidP="004C7EC6">
      <w:pPr>
        <w:keepNext/>
        <w:spacing w:before="240" w:after="120"/>
        <w:jc w:val="both"/>
        <w:rPr>
          <w:rFonts w:ascii="Arial" w:hAnsi="Arial" w:cs="Arial"/>
          <w:b/>
        </w:rPr>
      </w:pPr>
      <w:r w:rsidRPr="00271502">
        <w:rPr>
          <w:rFonts w:ascii="Arial" w:hAnsi="Arial" w:cs="Arial"/>
          <w:b/>
        </w:rPr>
        <w:t>Definitions</w:t>
      </w:r>
    </w:p>
    <w:p w:rsidR="00E73EFB" w:rsidRDefault="00E73EFB" w:rsidP="00271502">
      <w:pPr>
        <w:spacing w:before="120" w:after="120"/>
        <w:jc w:val="both"/>
        <w:rPr>
          <w:rFonts w:ascii="Arial" w:hAnsi="Arial" w:cs="Arial"/>
        </w:rPr>
      </w:pPr>
      <w:r>
        <w:rPr>
          <w:rFonts w:ascii="Arial" w:hAnsi="Arial" w:cs="Arial"/>
        </w:rPr>
        <w:t xml:space="preserve">The Bill provides the following definitions </w:t>
      </w:r>
      <w:r w:rsidR="00FB13CD">
        <w:rPr>
          <w:rFonts w:ascii="Arial" w:hAnsi="Arial" w:cs="Arial"/>
        </w:rPr>
        <w:t>in relation to</w:t>
      </w:r>
      <w:r>
        <w:rPr>
          <w:rFonts w:ascii="Arial" w:hAnsi="Arial" w:cs="Arial"/>
        </w:rPr>
        <w:t xml:space="preserve"> the new and extended grounds:</w:t>
      </w:r>
    </w:p>
    <w:p w:rsidR="00E73EFB" w:rsidRDefault="00E73EFB" w:rsidP="003E1D16">
      <w:pPr>
        <w:spacing w:before="240" w:after="120"/>
        <w:ind w:left="720" w:right="509"/>
        <w:jc w:val="both"/>
        <w:rPr>
          <w:rFonts w:ascii="Arial" w:hAnsi="Arial" w:cs="Arial"/>
          <w:sz w:val="22"/>
          <w:szCs w:val="22"/>
        </w:rPr>
      </w:pPr>
      <w:proofErr w:type="gramStart"/>
      <w:r>
        <w:rPr>
          <w:rFonts w:ascii="Arial" w:hAnsi="Arial" w:cs="Arial"/>
          <w:b/>
          <w:i/>
          <w:sz w:val="22"/>
          <w:szCs w:val="22"/>
        </w:rPr>
        <w:t>gender</w:t>
      </w:r>
      <w:proofErr w:type="gramEnd"/>
      <w:r>
        <w:rPr>
          <w:rFonts w:ascii="Arial" w:hAnsi="Arial" w:cs="Arial"/>
          <w:b/>
          <w:i/>
          <w:sz w:val="22"/>
          <w:szCs w:val="22"/>
        </w:rPr>
        <w:t xml:space="preserve"> identity</w:t>
      </w:r>
      <w:r>
        <w:rPr>
          <w:rFonts w:ascii="Arial" w:hAnsi="Arial" w:cs="Arial"/>
          <w:b/>
          <w:sz w:val="22"/>
          <w:szCs w:val="22"/>
        </w:rPr>
        <w:t xml:space="preserve"> </w:t>
      </w:r>
      <w:r w:rsidRPr="00E73EFB">
        <w:rPr>
          <w:rFonts w:ascii="Arial" w:hAnsi="Arial" w:cs="Arial"/>
          <w:sz w:val="22"/>
          <w:szCs w:val="22"/>
        </w:rPr>
        <w:t>means the gender-related identi</w:t>
      </w:r>
      <w:r>
        <w:rPr>
          <w:rFonts w:ascii="Arial" w:hAnsi="Arial" w:cs="Arial"/>
          <w:sz w:val="22"/>
          <w:szCs w:val="22"/>
        </w:rPr>
        <w:t>t</w:t>
      </w:r>
      <w:r w:rsidRPr="00E73EFB">
        <w:rPr>
          <w:rFonts w:ascii="Arial" w:hAnsi="Arial" w:cs="Arial"/>
          <w:sz w:val="22"/>
          <w:szCs w:val="22"/>
        </w:rPr>
        <w:t>y</w:t>
      </w:r>
      <w:r>
        <w:rPr>
          <w:rFonts w:ascii="Arial" w:hAnsi="Arial" w:cs="Arial"/>
          <w:sz w:val="22"/>
          <w:szCs w:val="22"/>
        </w:rPr>
        <w:t xml:space="preserve">, appearance or mannerisms </w:t>
      </w:r>
      <w:r w:rsidR="00AD471F">
        <w:rPr>
          <w:rFonts w:ascii="Arial" w:hAnsi="Arial" w:cs="Arial"/>
          <w:sz w:val="22"/>
          <w:szCs w:val="22"/>
        </w:rPr>
        <w:t xml:space="preserve">or </w:t>
      </w:r>
      <w:r>
        <w:rPr>
          <w:rFonts w:ascii="Arial" w:hAnsi="Arial" w:cs="Arial"/>
          <w:sz w:val="22"/>
          <w:szCs w:val="22"/>
        </w:rPr>
        <w:t>other gender-related characteristics of a person (whether by way of medical intervention or not), with or without regard to the person’s designated sex at birth.</w:t>
      </w:r>
    </w:p>
    <w:p w:rsidR="00E73EFB" w:rsidRDefault="00FB13CD" w:rsidP="004C7EC6">
      <w:pPr>
        <w:keepNext/>
        <w:spacing w:before="240" w:after="120"/>
        <w:ind w:left="720" w:right="510"/>
        <w:jc w:val="both"/>
        <w:rPr>
          <w:rFonts w:ascii="Arial" w:hAnsi="Arial" w:cs="Arial"/>
          <w:sz w:val="22"/>
          <w:szCs w:val="22"/>
        </w:rPr>
      </w:pPr>
      <w:proofErr w:type="gramStart"/>
      <w:r>
        <w:rPr>
          <w:rFonts w:ascii="Arial" w:hAnsi="Arial" w:cs="Arial"/>
          <w:b/>
          <w:i/>
          <w:sz w:val="22"/>
          <w:szCs w:val="22"/>
        </w:rPr>
        <w:lastRenderedPageBreak/>
        <w:t>i</w:t>
      </w:r>
      <w:r w:rsidR="00E73EFB">
        <w:rPr>
          <w:rFonts w:ascii="Arial" w:hAnsi="Arial" w:cs="Arial"/>
          <w:b/>
          <w:i/>
          <w:sz w:val="22"/>
          <w:szCs w:val="22"/>
        </w:rPr>
        <w:t>ntersex</w:t>
      </w:r>
      <w:proofErr w:type="gramEnd"/>
      <w:r w:rsidR="00E73EFB">
        <w:rPr>
          <w:rFonts w:ascii="Arial" w:hAnsi="Arial" w:cs="Arial"/>
          <w:b/>
          <w:i/>
          <w:sz w:val="22"/>
          <w:szCs w:val="22"/>
        </w:rPr>
        <w:t xml:space="preserve"> status </w:t>
      </w:r>
      <w:r w:rsidR="00E73EFB">
        <w:rPr>
          <w:rFonts w:ascii="Arial" w:hAnsi="Arial" w:cs="Arial"/>
          <w:sz w:val="22"/>
          <w:szCs w:val="22"/>
        </w:rPr>
        <w:t xml:space="preserve">means the status of having physical, hormonal </w:t>
      </w:r>
      <w:r>
        <w:rPr>
          <w:rFonts w:ascii="Arial" w:hAnsi="Arial" w:cs="Arial"/>
          <w:sz w:val="22"/>
          <w:szCs w:val="22"/>
        </w:rPr>
        <w:t>or genetic features that are:</w:t>
      </w:r>
    </w:p>
    <w:p w:rsidR="00FB13CD" w:rsidRDefault="00FB13CD" w:rsidP="003E1D16">
      <w:pPr>
        <w:pStyle w:val="ListParagraph"/>
        <w:numPr>
          <w:ilvl w:val="0"/>
          <w:numId w:val="2"/>
        </w:numPr>
        <w:spacing w:before="120" w:after="120"/>
        <w:ind w:left="1077" w:right="509" w:hanging="84"/>
        <w:contextualSpacing w:val="0"/>
        <w:jc w:val="both"/>
        <w:rPr>
          <w:rFonts w:ascii="Arial" w:hAnsi="Arial" w:cs="Arial"/>
          <w:sz w:val="22"/>
          <w:szCs w:val="22"/>
        </w:rPr>
      </w:pPr>
      <w:r>
        <w:rPr>
          <w:rFonts w:ascii="Arial" w:hAnsi="Arial" w:cs="Arial"/>
          <w:sz w:val="22"/>
          <w:szCs w:val="22"/>
        </w:rPr>
        <w:t>neither wholly female nor wholly male; or</w:t>
      </w:r>
    </w:p>
    <w:p w:rsidR="00FB13CD" w:rsidRDefault="00FB13CD" w:rsidP="003E1D16">
      <w:pPr>
        <w:pStyle w:val="ListParagraph"/>
        <w:numPr>
          <w:ilvl w:val="0"/>
          <w:numId w:val="2"/>
        </w:numPr>
        <w:spacing w:before="120" w:after="120"/>
        <w:ind w:left="1077" w:right="509" w:hanging="84"/>
        <w:contextualSpacing w:val="0"/>
        <w:jc w:val="both"/>
        <w:rPr>
          <w:rFonts w:ascii="Arial" w:hAnsi="Arial" w:cs="Arial"/>
          <w:sz w:val="22"/>
          <w:szCs w:val="22"/>
        </w:rPr>
      </w:pPr>
      <w:r>
        <w:rPr>
          <w:rFonts w:ascii="Arial" w:hAnsi="Arial" w:cs="Arial"/>
          <w:sz w:val="22"/>
          <w:szCs w:val="22"/>
        </w:rPr>
        <w:t>a combination of female and male; or</w:t>
      </w:r>
    </w:p>
    <w:p w:rsidR="00FB13CD" w:rsidRDefault="00FB13CD" w:rsidP="003E1D16">
      <w:pPr>
        <w:pStyle w:val="ListParagraph"/>
        <w:numPr>
          <w:ilvl w:val="0"/>
          <w:numId w:val="2"/>
        </w:numPr>
        <w:spacing w:before="120" w:after="120"/>
        <w:ind w:left="1077" w:right="509" w:hanging="84"/>
        <w:contextualSpacing w:val="0"/>
        <w:jc w:val="both"/>
        <w:rPr>
          <w:rFonts w:ascii="Arial" w:hAnsi="Arial" w:cs="Arial"/>
          <w:sz w:val="22"/>
          <w:szCs w:val="22"/>
        </w:rPr>
      </w:pPr>
      <w:proofErr w:type="gramStart"/>
      <w:r>
        <w:rPr>
          <w:rFonts w:ascii="Arial" w:hAnsi="Arial" w:cs="Arial"/>
          <w:sz w:val="22"/>
          <w:szCs w:val="22"/>
        </w:rPr>
        <w:t>neither</w:t>
      </w:r>
      <w:proofErr w:type="gramEnd"/>
      <w:r>
        <w:rPr>
          <w:rFonts w:ascii="Arial" w:hAnsi="Arial" w:cs="Arial"/>
          <w:sz w:val="22"/>
          <w:szCs w:val="22"/>
        </w:rPr>
        <w:t xml:space="preserve"> female nor male.</w:t>
      </w:r>
    </w:p>
    <w:p w:rsidR="003E1D16" w:rsidRDefault="003E1D16" w:rsidP="004C7EC6">
      <w:pPr>
        <w:keepNext/>
        <w:spacing w:before="240" w:after="120"/>
        <w:ind w:left="720" w:right="510"/>
        <w:jc w:val="both"/>
        <w:rPr>
          <w:rFonts w:ascii="Arial" w:hAnsi="Arial" w:cs="Arial"/>
          <w:sz w:val="22"/>
          <w:szCs w:val="22"/>
        </w:rPr>
      </w:pPr>
      <w:proofErr w:type="gramStart"/>
      <w:r>
        <w:rPr>
          <w:rFonts w:ascii="Arial" w:hAnsi="Arial" w:cs="Arial"/>
          <w:b/>
          <w:i/>
          <w:sz w:val="22"/>
          <w:szCs w:val="22"/>
        </w:rPr>
        <w:t>sexual</w:t>
      </w:r>
      <w:proofErr w:type="gramEnd"/>
      <w:r>
        <w:rPr>
          <w:rFonts w:ascii="Arial" w:hAnsi="Arial" w:cs="Arial"/>
          <w:b/>
          <w:i/>
          <w:sz w:val="22"/>
          <w:szCs w:val="22"/>
        </w:rPr>
        <w:t xml:space="preserve"> orientation</w:t>
      </w:r>
      <w:r>
        <w:rPr>
          <w:rFonts w:ascii="Arial" w:hAnsi="Arial" w:cs="Arial"/>
          <w:sz w:val="22"/>
          <w:szCs w:val="22"/>
        </w:rPr>
        <w:t xml:space="preserve"> means a person’s sexual orientation towards:</w:t>
      </w:r>
    </w:p>
    <w:p w:rsidR="003E1D16" w:rsidRDefault="003E1D16" w:rsidP="003E1D16">
      <w:pPr>
        <w:pStyle w:val="ListParagraph"/>
        <w:numPr>
          <w:ilvl w:val="0"/>
          <w:numId w:val="4"/>
        </w:numPr>
        <w:spacing w:before="120" w:after="120"/>
        <w:ind w:left="1077" w:right="509" w:hanging="84"/>
        <w:contextualSpacing w:val="0"/>
        <w:jc w:val="both"/>
        <w:rPr>
          <w:rFonts w:ascii="Arial" w:hAnsi="Arial" w:cs="Arial"/>
          <w:sz w:val="22"/>
          <w:szCs w:val="22"/>
        </w:rPr>
      </w:pPr>
      <w:r>
        <w:rPr>
          <w:rFonts w:ascii="Arial" w:hAnsi="Arial" w:cs="Arial"/>
          <w:sz w:val="22"/>
          <w:szCs w:val="22"/>
        </w:rPr>
        <w:t>persons of the same sex; or</w:t>
      </w:r>
    </w:p>
    <w:p w:rsidR="003E1D16" w:rsidRDefault="003E1D16" w:rsidP="003E1D16">
      <w:pPr>
        <w:pStyle w:val="ListParagraph"/>
        <w:numPr>
          <w:ilvl w:val="0"/>
          <w:numId w:val="4"/>
        </w:numPr>
        <w:spacing w:before="120" w:after="120"/>
        <w:ind w:right="509" w:hanging="447"/>
        <w:contextualSpacing w:val="0"/>
        <w:jc w:val="both"/>
        <w:rPr>
          <w:rFonts w:ascii="Arial" w:hAnsi="Arial" w:cs="Arial"/>
          <w:sz w:val="22"/>
          <w:szCs w:val="22"/>
        </w:rPr>
      </w:pPr>
      <w:r>
        <w:rPr>
          <w:rFonts w:ascii="Arial" w:hAnsi="Arial" w:cs="Arial"/>
          <w:sz w:val="22"/>
          <w:szCs w:val="22"/>
        </w:rPr>
        <w:t>persons of a different sex; or</w:t>
      </w:r>
    </w:p>
    <w:p w:rsidR="003E1D16" w:rsidRPr="00FB13CD" w:rsidRDefault="003E1D16" w:rsidP="003E1D16">
      <w:pPr>
        <w:pStyle w:val="ListParagraph"/>
        <w:numPr>
          <w:ilvl w:val="0"/>
          <w:numId w:val="4"/>
        </w:numPr>
        <w:spacing w:before="120" w:after="120"/>
        <w:ind w:right="509" w:hanging="447"/>
        <w:contextualSpacing w:val="0"/>
        <w:jc w:val="both"/>
        <w:rPr>
          <w:rFonts w:ascii="Arial" w:hAnsi="Arial" w:cs="Arial"/>
          <w:sz w:val="22"/>
          <w:szCs w:val="22"/>
        </w:rPr>
      </w:pPr>
      <w:proofErr w:type="gramStart"/>
      <w:r>
        <w:rPr>
          <w:rFonts w:ascii="Arial" w:hAnsi="Arial" w:cs="Arial"/>
          <w:sz w:val="22"/>
          <w:szCs w:val="22"/>
        </w:rPr>
        <w:t>persons</w:t>
      </w:r>
      <w:proofErr w:type="gramEnd"/>
      <w:r>
        <w:rPr>
          <w:rFonts w:ascii="Arial" w:hAnsi="Arial" w:cs="Arial"/>
          <w:sz w:val="22"/>
          <w:szCs w:val="22"/>
        </w:rPr>
        <w:t xml:space="preserve"> of the same sex an</w:t>
      </w:r>
      <w:r w:rsidR="00455F64">
        <w:rPr>
          <w:rFonts w:ascii="Arial" w:hAnsi="Arial" w:cs="Arial"/>
          <w:sz w:val="22"/>
          <w:szCs w:val="22"/>
        </w:rPr>
        <w:t>d</w:t>
      </w:r>
      <w:r>
        <w:rPr>
          <w:rFonts w:ascii="Arial" w:hAnsi="Arial" w:cs="Arial"/>
          <w:sz w:val="22"/>
          <w:szCs w:val="22"/>
        </w:rPr>
        <w:t xml:space="preserve"> persons of a different sex.</w:t>
      </w:r>
    </w:p>
    <w:p w:rsidR="00FB13CD" w:rsidRDefault="00FB13CD" w:rsidP="004C7EC6">
      <w:pPr>
        <w:keepNext/>
        <w:spacing w:before="240" w:after="120"/>
        <w:ind w:left="720" w:right="510"/>
        <w:jc w:val="both"/>
        <w:rPr>
          <w:rFonts w:ascii="Arial" w:hAnsi="Arial" w:cs="Arial"/>
          <w:sz w:val="22"/>
          <w:szCs w:val="22"/>
        </w:rPr>
      </w:pPr>
      <w:proofErr w:type="gramStart"/>
      <w:r>
        <w:rPr>
          <w:rFonts w:ascii="Arial" w:hAnsi="Arial" w:cs="Arial"/>
          <w:b/>
          <w:i/>
          <w:sz w:val="22"/>
          <w:szCs w:val="22"/>
        </w:rPr>
        <w:t>marital</w:t>
      </w:r>
      <w:proofErr w:type="gramEnd"/>
      <w:r>
        <w:rPr>
          <w:rFonts w:ascii="Arial" w:hAnsi="Arial" w:cs="Arial"/>
          <w:b/>
          <w:i/>
          <w:sz w:val="22"/>
          <w:szCs w:val="22"/>
        </w:rPr>
        <w:t xml:space="preserve"> or relationship status </w:t>
      </w:r>
      <w:r>
        <w:rPr>
          <w:rFonts w:ascii="Arial" w:hAnsi="Arial" w:cs="Arial"/>
          <w:sz w:val="22"/>
          <w:szCs w:val="22"/>
        </w:rPr>
        <w:t>means a person’s status of being any of the following:</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sidRPr="00FB13CD">
        <w:rPr>
          <w:rFonts w:ascii="Arial" w:hAnsi="Arial" w:cs="Arial"/>
          <w:sz w:val="22"/>
          <w:szCs w:val="22"/>
        </w:rPr>
        <w:t>single;</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sidRPr="00FB13CD">
        <w:rPr>
          <w:rFonts w:ascii="Arial" w:hAnsi="Arial" w:cs="Arial"/>
          <w:sz w:val="22"/>
          <w:szCs w:val="22"/>
        </w:rPr>
        <w:t>married</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sidRPr="00FB13CD">
        <w:rPr>
          <w:rFonts w:ascii="Arial" w:hAnsi="Arial" w:cs="Arial"/>
          <w:sz w:val="22"/>
          <w:szCs w:val="22"/>
        </w:rPr>
        <w:t>married, but living separately and apart from his or her</w:t>
      </w:r>
      <w:r>
        <w:rPr>
          <w:rFonts w:ascii="Arial" w:hAnsi="Arial" w:cs="Arial"/>
          <w:sz w:val="22"/>
          <w:szCs w:val="22"/>
        </w:rPr>
        <w:t xml:space="preserve"> </w:t>
      </w:r>
      <w:r w:rsidRPr="00FB13CD">
        <w:rPr>
          <w:rFonts w:ascii="Arial" w:hAnsi="Arial" w:cs="Arial"/>
          <w:sz w:val="22"/>
          <w:szCs w:val="22"/>
        </w:rPr>
        <w:t>spouse</w:t>
      </w:r>
      <w:r>
        <w:rPr>
          <w:rFonts w:ascii="Arial" w:hAnsi="Arial" w:cs="Arial"/>
          <w:sz w:val="22"/>
          <w:szCs w:val="22"/>
        </w:rPr>
        <w:t>;</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Pr>
          <w:rFonts w:ascii="Arial" w:hAnsi="Arial" w:cs="Arial"/>
          <w:sz w:val="22"/>
          <w:szCs w:val="22"/>
        </w:rPr>
        <w:t>divorced;</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Pr>
          <w:rFonts w:ascii="Arial" w:hAnsi="Arial" w:cs="Arial"/>
          <w:sz w:val="22"/>
          <w:szCs w:val="22"/>
        </w:rPr>
        <w:t>the de facto partner of another person;</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Pr>
          <w:rFonts w:ascii="Arial" w:hAnsi="Arial" w:cs="Arial"/>
          <w:sz w:val="22"/>
          <w:szCs w:val="22"/>
        </w:rPr>
        <w:t>the de facto partner of another person, but living separately and apart from that other person;</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sz w:val="22"/>
          <w:szCs w:val="22"/>
        </w:rPr>
      </w:pPr>
      <w:r>
        <w:rPr>
          <w:rFonts w:ascii="Arial" w:hAnsi="Arial" w:cs="Arial"/>
          <w:sz w:val="22"/>
          <w:szCs w:val="22"/>
        </w:rPr>
        <w:t>the former de facto partner of another person;</w:t>
      </w:r>
    </w:p>
    <w:p w:rsidR="00FB13CD" w:rsidRPr="00FB13CD" w:rsidRDefault="00FB13CD" w:rsidP="003E1D16">
      <w:pPr>
        <w:pStyle w:val="ListParagraph"/>
        <w:numPr>
          <w:ilvl w:val="0"/>
          <w:numId w:val="5"/>
        </w:numPr>
        <w:spacing w:before="120" w:after="120"/>
        <w:ind w:left="1560" w:right="509" w:hanging="567"/>
        <w:contextualSpacing w:val="0"/>
        <w:jc w:val="both"/>
        <w:rPr>
          <w:rFonts w:ascii="Arial" w:hAnsi="Arial" w:cs="Arial"/>
        </w:rPr>
      </w:pPr>
      <w:proofErr w:type="gramStart"/>
      <w:r>
        <w:rPr>
          <w:rFonts w:ascii="Arial" w:hAnsi="Arial" w:cs="Arial"/>
          <w:sz w:val="22"/>
          <w:szCs w:val="22"/>
        </w:rPr>
        <w:t>the</w:t>
      </w:r>
      <w:proofErr w:type="gramEnd"/>
      <w:r>
        <w:rPr>
          <w:rFonts w:ascii="Arial" w:hAnsi="Arial" w:cs="Arial"/>
          <w:sz w:val="22"/>
          <w:szCs w:val="22"/>
        </w:rPr>
        <w:t xml:space="preserve"> surviving spouse or de facto partner of an person who has died.</w:t>
      </w:r>
    </w:p>
    <w:p w:rsidR="00E73EFB" w:rsidRPr="003E1D16" w:rsidRDefault="003E1D16" w:rsidP="003E1D16">
      <w:pPr>
        <w:spacing w:before="240" w:after="120"/>
        <w:ind w:left="720" w:right="509"/>
        <w:jc w:val="both"/>
        <w:rPr>
          <w:rFonts w:ascii="Arial" w:hAnsi="Arial" w:cs="Arial"/>
          <w:b/>
          <w:i/>
          <w:sz w:val="22"/>
          <w:szCs w:val="22"/>
        </w:rPr>
      </w:pPr>
      <w:proofErr w:type="gramStart"/>
      <w:r>
        <w:rPr>
          <w:rFonts w:ascii="Arial" w:hAnsi="Arial" w:cs="Arial"/>
          <w:b/>
          <w:i/>
          <w:sz w:val="22"/>
          <w:szCs w:val="22"/>
        </w:rPr>
        <w:t>surviving</w:t>
      </w:r>
      <w:proofErr w:type="gramEnd"/>
      <w:r>
        <w:rPr>
          <w:rFonts w:ascii="Arial" w:hAnsi="Arial" w:cs="Arial"/>
          <w:b/>
          <w:i/>
          <w:sz w:val="22"/>
          <w:szCs w:val="22"/>
        </w:rPr>
        <w:t xml:space="preserve"> spouse or de facto partner </w:t>
      </w:r>
      <w:r>
        <w:rPr>
          <w:rFonts w:ascii="Arial" w:hAnsi="Arial" w:cs="Arial"/>
          <w:sz w:val="22"/>
          <w:szCs w:val="22"/>
        </w:rPr>
        <w:t>of a person who has died means a person who was the person’s spouse or de facto partner immediately before the person died.</w:t>
      </w:r>
      <w:r>
        <w:rPr>
          <w:rFonts w:ascii="Arial" w:hAnsi="Arial" w:cs="Arial"/>
          <w:b/>
          <w:i/>
          <w:sz w:val="22"/>
          <w:szCs w:val="22"/>
        </w:rPr>
        <w:t xml:space="preserve"> </w:t>
      </w:r>
    </w:p>
    <w:p w:rsidR="00E73EFB" w:rsidRDefault="00467AD6" w:rsidP="00E73EFB">
      <w:pPr>
        <w:spacing w:before="240" w:after="120"/>
        <w:jc w:val="both"/>
        <w:rPr>
          <w:rFonts w:ascii="Arial" w:hAnsi="Arial" w:cs="Arial"/>
        </w:rPr>
      </w:pPr>
      <w:r>
        <w:rPr>
          <w:rFonts w:ascii="Arial" w:hAnsi="Arial" w:cs="Arial"/>
        </w:rPr>
        <w:t xml:space="preserve">The Commission welcomes the </w:t>
      </w:r>
      <w:r w:rsidR="00C856DC">
        <w:rPr>
          <w:rFonts w:ascii="Arial" w:hAnsi="Arial" w:cs="Arial"/>
        </w:rPr>
        <w:t xml:space="preserve">inclusion of intersex status </w:t>
      </w:r>
      <w:r>
        <w:rPr>
          <w:rFonts w:ascii="Arial" w:hAnsi="Arial" w:cs="Arial"/>
        </w:rPr>
        <w:t>as a separate attribute</w:t>
      </w:r>
      <w:r w:rsidR="00C856DC">
        <w:rPr>
          <w:rFonts w:ascii="Arial" w:hAnsi="Arial" w:cs="Arial"/>
        </w:rPr>
        <w:t>, defined so that it is not limited to intersex people who elect to live as male or female, as recommended by the Australian Council of Human Rights Agencies (ACHRA) in the joint submission on the Exposure Draft of the consolidation Bill.</w:t>
      </w:r>
    </w:p>
    <w:p w:rsidR="00AD471F" w:rsidRDefault="00EC14D0" w:rsidP="00E73EFB">
      <w:pPr>
        <w:spacing w:before="240" w:after="120"/>
        <w:jc w:val="both"/>
        <w:rPr>
          <w:rFonts w:ascii="Arial" w:hAnsi="Arial" w:cs="Arial"/>
        </w:rPr>
      </w:pPr>
      <w:r>
        <w:rPr>
          <w:rFonts w:ascii="Arial" w:hAnsi="Arial" w:cs="Arial"/>
        </w:rPr>
        <w:t xml:space="preserve">Whilst </w:t>
      </w:r>
      <w:r w:rsidR="00DD3809">
        <w:rPr>
          <w:rFonts w:ascii="Arial" w:hAnsi="Arial" w:cs="Arial"/>
        </w:rPr>
        <w:t>acknowledging</w:t>
      </w:r>
      <w:r>
        <w:rPr>
          <w:rFonts w:ascii="Arial" w:hAnsi="Arial" w:cs="Arial"/>
        </w:rPr>
        <w:t xml:space="preserve"> there are differing views as to how gender identity </w:t>
      </w:r>
      <w:r w:rsidR="00636AAF">
        <w:rPr>
          <w:rFonts w:ascii="Arial" w:hAnsi="Arial" w:cs="Arial"/>
        </w:rPr>
        <w:t xml:space="preserve">and sexual orientation </w:t>
      </w:r>
      <w:r>
        <w:rPr>
          <w:rFonts w:ascii="Arial" w:hAnsi="Arial" w:cs="Arial"/>
        </w:rPr>
        <w:t>should be expressed and defined, t</w:t>
      </w:r>
      <w:r w:rsidR="00AD471F">
        <w:rPr>
          <w:rFonts w:ascii="Arial" w:hAnsi="Arial" w:cs="Arial"/>
        </w:rPr>
        <w:t>he Commission supports the definitions of gender identity, sexual orientation and marital or relationship status</w:t>
      </w:r>
      <w:r>
        <w:rPr>
          <w:rFonts w:ascii="Arial" w:hAnsi="Arial" w:cs="Arial"/>
        </w:rPr>
        <w:t xml:space="preserve"> as provided in the Bill</w:t>
      </w:r>
      <w:r w:rsidR="00AD471F">
        <w:rPr>
          <w:rFonts w:ascii="Arial" w:hAnsi="Arial" w:cs="Arial"/>
        </w:rPr>
        <w:t>.</w:t>
      </w:r>
      <w:r w:rsidR="00636AAF">
        <w:rPr>
          <w:rFonts w:ascii="Arial" w:hAnsi="Arial" w:cs="Arial"/>
        </w:rPr>
        <w:t xml:space="preserve">  The definitions in the Bill recognise that a person may be, or ident</w:t>
      </w:r>
      <w:r w:rsidR="00930E6A">
        <w:rPr>
          <w:rFonts w:ascii="Arial" w:hAnsi="Arial" w:cs="Arial"/>
        </w:rPr>
        <w:t>ify as, neither male nor female</w:t>
      </w:r>
      <w:r w:rsidR="00636AAF">
        <w:rPr>
          <w:rFonts w:ascii="Arial" w:hAnsi="Arial" w:cs="Arial"/>
        </w:rPr>
        <w:t>.</w:t>
      </w:r>
    </w:p>
    <w:p w:rsidR="00CB3EF4" w:rsidRDefault="00636AAF" w:rsidP="00E73EFB">
      <w:pPr>
        <w:spacing w:before="240" w:after="120"/>
        <w:jc w:val="both"/>
        <w:rPr>
          <w:rFonts w:ascii="Arial" w:hAnsi="Arial" w:cs="Arial"/>
        </w:rPr>
      </w:pPr>
      <w:r>
        <w:rPr>
          <w:rFonts w:ascii="Arial" w:hAnsi="Arial" w:cs="Arial"/>
        </w:rPr>
        <w:t>The three new definitions of discrimination, on the new grounds of sexual orientation, gender identity and intersex status, are modelled on the existing definition of discrimination on the ground of marital status.</w:t>
      </w:r>
      <w:r w:rsidR="005675A9">
        <w:rPr>
          <w:rFonts w:ascii="Arial" w:hAnsi="Arial" w:cs="Arial"/>
        </w:rPr>
        <w:t xml:space="preserve">  </w:t>
      </w:r>
      <w:r w:rsidR="00852F10">
        <w:rPr>
          <w:rFonts w:ascii="Arial" w:hAnsi="Arial" w:cs="Arial"/>
        </w:rPr>
        <w:t>(</w:t>
      </w:r>
      <w:r w:rsidR="00CB3EF4">
        <w:rPr>
          <w:rFonts w:ascii="Arial" w:hAnsi="Arial" w:cs="Arial"/>
        </w:rPr>
        <w:t xml:space="preserve">The definitions for all the grounds are essentially the same, except for </w:t>
      </w:r>
      <w:r w:rsidR="00852F10">
        <w:rPr>
          <w:rFonts w:ascii="Arial" w:hAnsi="Arial" w:cs="Arial"/>
        </w:rPr>
        <w:t xml:space="preserve">the ground of </w:t>
      </w:r>
      <w:r w:rsidR="00CB3EF4">
        <w:rPr>
          <w:rFonts w:ascii="Arial" w:hAnsi="Arial" w:cs="Arial"/>
        </w:rPr>
        <w:t xml:space="preserve">family responsibilities which is limited </w:t>
      </w:r>
      <w:r w:rsidR="00DF7DBA">
        <w:rPr>
          <w:rFonts w:ascii="Arial" w:hAnsi="Arial" w:cs="Arial"/>
        </w:rPr>
        <w:t>to ‘direct’ discrimination only</w:t>
      </w:r>
      <w:r w:rsidR="00CB3EF4">
        <w:rPr>
          <w:rFonts w:ascii="Arial" w:hAnsi="Arial" w:cs="Arial"/>
        </w:rPr>
        <w:t>.</w:t>
      </w:r>
      <w:r w:rsidR="00852F10">
        <w:rPr>
          <w:rFonts w:ascii="Arial" w:hAnsi="Arial" w:cs="Arial"/>
        </w:rPr>
        <w:t>)</w:t>
      </w:r>
    </w:p>
    <w:p w:rsidR="00636AAF" w:rsidRDefault="005675A9" w:rsidP="00E73EFB">
      <w:pPr>
        <w:spacing w:before="240" w:after="120"/>
        <w:jc w:val="both"/>
        <w:rPr>
          <w:rFonts w:ascii="Arial" w:hAnsi="Arial" w:cs="Arial"/>
        </w:rPr>
      </w:pPr>
      <w:r>
        <w:rPr>
          <w:rFonts w:ascii="Arial" w:hAnsi="Arial" w:cs="Arial"/>
        </w:rPr>
        <w:lastRenderedPageBreak/>
        <w:t>For ‘direct’ discrimination, this means there is still a comparator test.</w:t>
      </w:r>
      <w:r w:rsidR="00296E3C">
        <w:rPr>
          <w:rFonts w:ascii="Arial" w:hAnsi="Arial" w:cs="Arial"/>
        </w:rPr>
        <w:t xml:space="preserve">  It also means that whilst the definition includes a characteristic that generally appertains or is imputed to a person with the attribute, the extensions contemplated by the draft consolidated Bill have not been included.  In Queensland, the extended meaning of a protected attribute also includes a</w:t>
      </w:r>
      <w:r w:rsidR="00E97D26">
        <w:rPr>
          <w:rFonts w:ascii="Arial" w:hAnsi="Arial" w:cs="Arial"/>
        </w:rPr>
        <w:t xml:space="preserve">n attribute a person is presumed to have had at any time and an </w:t>
      </w:r>
      <w:r w:rsidR="00296E3C">
        <w:rPr>
          <w:rFonts w:ascii="Arial" w:hAnsi="Arial" w:cs="Arial"/>
        </w:rPr>
        <w:t>attribute</w:t>
      </w:r>
      <w:r w:rsidR="00E97D26">
        <w:rPr>
          <w:rFonts w:ascii="Arial" w:hAnsi="Arial" w:cs="Arial"/>
        </w:rPr>
        <w:t xml:space="preserve"> had previously</w:t>
      </w:r>
      <w:r w:rsidR="00296E3C">
        <w:rPr>
          <w:rFonts w:ascii="Arial" w:hAnsi="Arial" w:cs="Arial"/>
        </w:rPr>
        <w:t>.</w:t>
      </w:r>
      <w:r w:rsidR="00296E3C">
        <w:rPr>
          <w:rStyle w:val="FootnoteReference"/>
          <w:rFonts w:ascii="Arial" w:hAnsi="Arial" w:cs="Arial"/>
        </w:rPr>
        <w:footnoteReference w:id="1"/>
      </w:r>
    </w:p>
    <w:p w:rsidR="00CB3EF4" w:rsidRDefault="00DF7DBA" w:rsidP="00E73EFB">
      <w:pPr>
        <w:spacing w:before="240" w:after="120"/>
        <w:jc w:val="both"/>
        <w:rPr>
          <w:rFonts w:ascii="Arial" w:hAnsi="Arial" w:cs="Arial"/>
        </w:rPr>
      </w:pPr>
      <w:r>
        <w:rPr>
          <w:rFonts w:ascii="Arial" w:hAnsi="Arial" w:cs="Arial"/>
        </w:rPr>
        <w:t xml:space="preserve">The Commission supports removal of the comparator element </w:t>
      </w:r>
      <w:r w:rsidR="005A0786">
        <w:rPr>
          <w:rFonts w:ascii="Arial" w:hAnsi="Arial" w:cs="Arial"/>
        </w:rPr>
        <w:t>from the definition of direct</w:t>
      </w:r>
      <w:r>
        <w:rPr>
          <w:rFonts w:ascii="Arial" w:hAnsi="Arial" w:cs="Arial"/>
        </w:rPr>
        <w:t xml:space="preserve"> discrimination on the grounds of the protected attributes,</w:t>
      </w:r>
      <w:r w:rsidR="00D26098">
        <w:rPr>
          <w:rFonts w:ascii="Arial" w:hAnsi="Arial" w:cs="Arial"/>
        </w:rPr>
        <w:t xml:space="preserve"> and extending the meaning of a protected attribute to include a presumed attribute and past attribute.</w:t>
      </w:r>
    </w:p>
    <w:p w:rsidR="00492EC0" w:rsidRPr="00492EC0" w:rsidRDefault="00492EC0" w:rsidP="004C7EC6">
      <w:pPr>
        <w:keepNext/>
        <w:spacing w:before="360" w:after="120"/>
        <w:jc w:val="both"/>
        <w:rPr>
          <w:rFonts w:ascii="Arial" w:hAnsi="Arial" w:cs="Arial"/>
          <w:b/>
        </w:rPr>
      </w:pPr>
      <w:r w:rsidRPr="00492EC0">
        <w:rPr>
          <w:rFonts w:ascii="Arial" w:hAnsi="Arial" w:cs="Arial"/>
          <w:b/>
        </w:rPr>
        <w:t>Areas</w:t>
      </w:r>
    </w:p>
    <w:p w:rsidR="00492EC0" w:rsidRDefault="00492EC0" w:rsidP="00123396">
      <w:pPr>
        <w:spacing w:before="120" w:after="120"/>
        <w:jc w:val="both"/>
        <w:rPr>
          <w:rFonts w:ascii="Arial" w:hAnsi="Arial" w:cs="Arial"/>
        </w:rPr>
      </w:pPr>
      <w:r>
        <w:rPr>
          <w:rFonts w:ascii="Arial" w:hAnsi="Arial" w:cs="Arial"/>
        </w:rPr>
        <w:t xml:space="preserve">The Bill </w:t>
      </w:r>
      <w:r w:rsidR="000A202C">
        <w:rPr>
          <w:rFonts w:ascii="Arial" w:hAnsi="Arial" w:cs="Arial"/>
        </w:rPr>
        <w:t xml:space="preserve">provides that the three new grounds are protected in all the areas of work </w:t>
      </w:r>
      <w:r w:rsidR="00C63675">
        <w:rPr>
          <w:rFonts w:ascii="Arial" w:hAnsi="Arial" w:cs="Arial"/>
        </w:rPr>
        <w:t xml:space="preserve">as well as all other areas </w:t>
      </w:r>
      <w:r w:rsidR="000A202C">
        <w:rPr>
          <w:rFonts w:ascii="Arial" w:hAnsi="Arial" w:cs="Arial"/>
        </w:rPr>
        <w:t>currently covered by the Act.</w:t>
      </w:r>
    </w:p>
    <w:p w:rsidR="00123396" w:rsidRDefault="000A202C" w:rsidP="00E73EFB">
      <w:pPr>
        <w:spacing w:before="240" w:after="120"/>
        <w:jc w:val="both"/>
        <w:rPr>
          <w:rFonts w:ascii="Arial" w:hAnsi="Arial" w:cs="Arial"/>
        </w:rPr>
      </w:pPr>
      <w:r>
        <w:rPr>
          <w:rFonts w:ascii="Arial" w:hAnsi="Arial" w:cs="Arial"/>
        </w:rPr>
        <w:t xml:space="preserve">For superannuation however, only the new ground of sexual orientation is added to the current protection.  This means that the protection from discrimination in superannuation is limited to the grounds of sex, marital or relationship status and sexual orientation.  </w:t>
      </w:r>
    </w:p>
    <w:p w:rsidR="000A202C" w:rsidRDefault="00DD3809" w:rsidP="00E73EFB">
      <w:pPr>
        <w:spacing w:before="240" w:after="120"/>
        <w:jc w:val="both"/>
        <w:rPr>
          <w:rFonts w:ascii="Arial" w:hAnsi="Arial" w:cs="Arial"/>
        </w:rPr>
      </w:pPr>
      <w:r>
        <w:rPr>
          <w:rFonts w:ascii="Arial" w:hAnsi="Arial" w:cs="Arial"/>
        </w:rPr>
        <w:t>The Explanatory M</w:t>
      </w:r>
      <w:r w:rsidR="00123396">
        <w:rPr>
          <w:rFonts w:ascii="Arial" w:hAnsi="Arial" w:cs="Arial"/>
        </w:rPr>
        <w:t>emorandum states that this amendment is to ensure there is no discrimination between same-sex de facto couples and opposite-sex de facto couples in relation to the payment of a superannuation benefit, consistent with the same-sex reforms in 2008.</w:t>
      </w:r>
    </w:p>
    <w:p w:rsidR="002B4080" w:rsidRDefault="00D70F52" w:rsidP="00E73EFB">
      <w:pPr>
        <w:spacing w:before="240" w:after="120"/>
        <w:jc w:val="both"/>
        <w:rPr>
          <w:rFonts w:ascii="Arial" w:hAnsi="Arial" w:cs="Arial"/>
        </w:rPr>
      </w:pPr>
      <w:r>
        <w:rPr>
          <w:rFonts w:ascii="Arial" w:hAnsi="Arial" w:cs="Arial"/>
        </w:rPr>
        <w:t xml:space="preserve">In relation to the areas of education and club membership, </w:t>
      </w:r>
      <w:r w:rsidR="002B4080">
        <w:rPr>
          <w:rFonts w:ascii="Arial" w:hAnsi="Arial" w:cs="Arial"/>
        </w:rPr>
        <w:t>the amendments in the Bill would allow discrimination:</w:t>
      </w:r>
    </w:p>
    <w:p w:rsidR="002B4080" w:rsidRDefault="002B4080" w:rsidP="002B4080">
      <w:pPr>
        <w:pStyle w:val="ListParagraph"/>
        <w:numPr>
          <w:ilvl w:val="0"/>
          <w:numId w:val="6"/>
        </w:numPr>
        <w:spacing w:before="240" w:after="120"/>
        <w:ind w:left="714" w:hanging="357"/>
        <w:contextualSpacing w:val="0"/>
        <w:jc w:val="both"/>
        <w:rPr>
          <w:rFonts w:ascii="Arial" w:hAnsi="Arial" w:cs="Arial"/>
        </w:rPr>
      </w:pPr>
      <w:r>
        <w:rPr>
          <w:rFonts w:ascii="Arial" w:hAnsi="Arial" w:cs="Arial"/>
        </w:rPr>
        <w:t>in admission as a student at an educational institution conducted solely for students of a different sex from the sex of the applicant; and</w:t>
      </w:r>
    </w:p>
    <w:p w:rsidR="002B4080" w:rsidRPr="002B4080" w:rsidRDefault="002B4080" w:rsidP="002B4080">
      <w:pPr>
        <w:pStyle w:val="ListParagraph"/>
        <w:numPr>
          <w:ilvl w:val="0"/>
          <w:numId w:val="6"/>
        </w:numPr>
        <w:spacing w:before="240" w:after="120"/>
        <w:ind w:left="714" w:hanging="357"/>
        <w:contextualSpacing w:val="0"/>
        <w:jc w:val="both"/>
        <w:rPr>
          <w:rFonts w:ascii="Arial" w:hAnsi="Arial" w:cs="Arial"/>
        </w:rPr>
      </w:pPr>
      <w:proofErr w:type="gramStart"/>
      <w:r>
        <w:rPr>
          <w:rFonts w:ascii="Arial" w:hAnsi="Arial" w:cs="Arial"/>
        </w:rPr>
        <w:t>on</w:t>
      </w:r>
      <w:proofErr w:type="gramEnd"/>
      <w:r>
        <w:rPr>
          <w:rFonts w:ascii="Arial" w:hAnsi="Arial" w:cs="Arial"/>
        </w:rPr>
        <w:t xml:space="preserve"> the ground of sex if membership of a club is available to persons of a different sex only.</w:t>
      </w:r>
    </w:p>
    <w:p w:rsidR="00F24CE8" w:rsidRDefault="000003B0" w:rsidP="00E73EFB">
      <w:pPr>
        <w:spacing w:before="240" w:after="120"/>
        <w:jc w:val="both"/>
        <w:rPr>
          <w:rFonts w:ascii="Arial" w:hAnsi="Arial" w:cs="Arial"/>
        </w:rPr>
      </w:pPr>
      <w:r>
        <w:rPr>
          <w:rFonts w:ascii="Arial" w:hAnsi="Arial" w:cs="Arial"/>
        </w:rPr>
        <w:t>Generally schools and clubs that have the benefit of the current exceptions are conducted for either males or females.  Therefore the</w:t>
      </w:r>
      <w:r w:rsidR="00F24CE8">
        <w:rPr>
          <w:rFonts w:ascii="Arial" w:hAnsi="Arial" w:cs="Arial"/>
        </w:rPr>
        <w:t>se schools</w:t>
      </w:r>
      <w:r>
        <w:rPr>
          <w:rFonts w:ascii="Arial" w:hAnsi="Arial" w:cs="Arial"/>
        </w:rPr>
        <w:t xml:space="preserve"> would be conducted for</w:t>
      </w:r>
      <w:r w:rsidR="00F24CE8">
        <w:rPr>
          <w:rFonts w:ascii="Arial" w:hAnsi="Arial" w:cs="Arial"/>
        </w:rPr>
        <w:t xml:space="preserve"> students,</w:t>
      </w:r>
      <w:r>
        <w:rPr>
          <w:rFonts w:ascii="Arial" w:hAnsi="Arial" w:cs="Arial"/>
        </w:rPr>
        <w:t xml:space="preserve"> </w:t>
      </w:r>
      <w:r w:rsidR="00F24CE8">
        <w:rPr>
          <w:rFonts w:ascii="Arial" w:hAnsi="Arial" w:cs="Arial"/>
        </w:rPr>
        <w:t>and the clubs</w:t>
      </w:r>
      <w:r>
        <w:rPr>
          <w:rFonts w:ascii="Arial" w:hAnsi="Arial" w:cs="Arial"/>
        </w:rPr>
        <w:t xml:space="preserve"> available to people</w:t>
      </w:r>
      <w:r w:rsidR="00F24CE8">
        <w:rPr>
          <w:rFonts w:ascii="Arial" w:hAnsi="Arial" w:cs="Arial"/>
        </w:rPr>
        <w:t>,</w:t>
      </w:r>
      <w:r>
        <w:rPr>
          <w:rFonts w:ascii="Arial" w:hAnsi="Arial" w:cs="Arial"/>
        </w:rPr>
        <w:t xml:space="preserve"> of a ‘different sex’ from people who are of indeterminate sex.</w:t>
      </w:r>
      <w:r w:rsidR="00F24CE8">
        <w:rPr>
          <w:rFonts w:ascii="Arial" w:hAnsi="Arial" w:cs="Arial"/>
        </w:rPr>
        <w:t xml:space="preserve"> </w:t>
      </w:r>
    </w:p>
    <w:p w:rsidR="000003B0" w:rsidRDefault="00F24CE8" w:rsidP="00E73EFB">
      <w:pPr>
        <w:spacing w:before="240" w:after="120"/>
        <w:jc w:val="both"/>
        <w:rPr>
          <w:rFonts w:ascii="Arial" w:hAnsi="Arial" w:cs="Arial"/>
        </w:rPr>
      </w:pPr>
      <w:r>
        <w:rPr>
          <w:rFonts w:ascii="Arial" w:hAnsi="Arial" w:cs="Arial"/>
        </w:rPr>
        <w:t>This would allow</w:t>
      </w:r>
      <w:r w:rsidR="00442C64">
        <w:rPr>
          <w:rFonts w:ascii="Arial" w:hAnsi="Arial" w:cs="Arial"/>
        </w:rPr>
        <w:t xml:space="preserve"> </w:t>
      </w:r>
      <w:r w:rsidR="00D70F52">
        <w:rPr>
          <w:rFonts w:ascii="Arial" w:hAnsi="Arial" w:cs="Arial"/>
        </w:rPr>
        <w:t xml:space="preserve">people who are, or identify as, neither male nor female, </w:t>
      </w:r>
      <w:r>
        <w:rPr>
          <w:rFonts w:ascii="Arial" w:hAnsi="Arial" w:cs="Arial"/>
        </w:rPr>
        <w:t>to</w:t>
      </w:r>
      <w:r w:rsidR="00D70F52">
        <w:rPr>
          <w:rFonts w:ascii="Arial" w:hAnsi="Arial" w:cs="Arial"/>
        </w:rPr>
        <w:t xml:space="preserve"> be excluded from admission as a student at single sex educational institutions and membership of single sex clubs</w:t>
      </w:r>
      <w:r>
        <w:rPr>
          <w:rFonts w:ascii="Arial" w:hAnsi="Arial" w:cs="Arial"/>
        </w:rPr>
        <w:t>, even if they identify as having the sex of the school or club</w:t>
      </w:r>
      <w:r w:rsidR="00D70F52">
        <w:rPr>
          <w:rFonts w:ascii="Arial" w:hAnsi="Arial" w:cs="Arial"/>
        </w:rPr>
        <w:t xml:space="preserve">.  </w:t>
      </w:r>
    </w:p>
    <w:p w:rsidR="00F24CE8" w:rsidRDefault="00F24CE8" w:rsidP="00E73EFB">
      <w:pPr>
        <w:spacing w:before="240" w:after="120"/>
        <w:jc w:val="both"/>
        <w:rPr>
          <w:rFonts w:ascii="Arial" w:hAnsi="Arial" w:cs="Arial"/>
        </w:rPr>
      </w:pPr>
      <w:r>
        <w:rPr>
          <w:rFonts w:ascii="Arial" w:hAnsi="Arial" w:cs="Arial"/>
        </w:rPr>
        <w:t>It is also foreseeable that a school or club might argue that a trans-gender person, or a person with the attribute of gender i</w:t>
      </w:r>
      <w:r w:rsidR="000B4BD3">
        <w:rPr>
          <w:rFonts w:ascii="Arial" w:hAnsi="Arial" w:cs="Arial"/>
        </w:rPr>
        <w:t>dentity, is not of the same sex as, or is of a ‘different sex’ to,</w:t>
      </w:r>
      <w:r>
        <w:rPr>
          <w:rFonts w:ascii="Arial" w:hAnsi="Arial" w:cs="Arial"/>
        </w:rPr>
        <w:t xml:space="preserve"> the sex for which the school is conducted or to which membership of the club is available.</w:t>
      </w:r>
    </w:p>
    <w:p w:rsidR="008530DD" w:rsidRDefault="00D70F52" w:rsidP="00E73EFB">
      <w:pPr>
        <w:spacing w:before="240" w:after="120"/>
        <w:jc w:val="both"/>
        <w:rPr>
          <w:rFonts w:ascii="Arial" w:hAnsi="Arial" w:cs="Arial"/>
        </w:rPr>
      </w:pPr>
      <w:r>
        <w:rPr>
          <w:rFonts w:ascii="Arial" w:hAnsi="Arial" w:cs="Arial"/>
        </w:rPr>
        <w:t>It is not clear whether this was the intention of the Bill.  The Explanatory Memorandum states that the amendments to the exceptions for single sex education and club membership ‘will ensure these provisions are consistent with the introduction of protections for gender identity and intersex status, which recognise that a person may be, or identify as, neither male nor female’.</w:t>
      </w:r>
    </w:p>
    <w:p w:rsidR="00D70F52" w:rsidRDefault="00442C64" w:rsidP="00E73EFB">
      <w:pPr>
        <w:spacing w:before="240" w:after="120"/>
        <w:jc w:val="both"/>
        <w:rPr>
          <w:rFonts w:ascii="Arial" w:hAnsi="Arial" w:cs="Arial"/>
        </w:rPr>
      </w:pPr>
      <w:r>
        <w:rPr>
          <w:rFonts w:ascii="Arial" w:hAnsi="Arial" w:cs="Arial"/>
        </w:rPr>
        <w:t>The Commission considers that</w:t>
      </w:r>
      <w:r w:rsidR="00D26098">
        <w:rPr>
          <w:rFonts w:ascii="Arial" w:hAnsi="Arial" w:cs="Arial"/>
        </w:rPr>
        <w:t>, at a minimum,</w:t>
      </w:r>
      <w:r>
        <w:rPr>
          <w:rFonts w:ascii="Arial" w:hAnsi="Arial" w:cs="Arial"/>
        </w:rPr>
        <w:t xml:space="preserve"> people </w:t>
      </w:r>
      <w:r w:rsidR="000003B0">
        <w:rPr>
          <w:rFonts w:ascii="Arial" w:hAnsi="Arial" w:cs="Arial"/>
        </w:rPr>
        <w:t>who</w:t>
      </w:r>
      <w:r>
        <w:rPr>
          <w:rFonts w:ascii="Arial" w:hAnsi="Arial" w:cs="Arial"/>
        </w:rPr>
        <w:t xml:space="preserve"> identify as either male or female should </w:t>
      </w:r>
      <w:r w:rsidR="002B4080">
        <w:rPr>
          <w:rFonts w:ascii="Arial" w:hAnsi="Arial" w:cs="Arial"/>
        </w:rPr>
        <w:t xml:space="preserve">be </w:t>
      </w:r>
      <w:r w:rsidR="00D26098">
        <w:rPr>
          <w:rFonts w:ascii="Arial" w:hAnsi="Arial" w:cs="Arial"/>
        </w:rPr>
        <w:t>protected from exclusion</w:t>
      </w:r>
      <w:r w:rsidR="0064193E">
        <w:rPr>
          <w:rFonts w:ascii="Arial" w:hAnsi="Arial" w:cs="Arial"/>
        </w:rPr>
        <w:t xml:space="preserve"> from</w:t>
      </w:r>
      <w:r>
        <w:rPr>
          <w:rFonts w:ascii="Arial" w:hAnsi="Arial" w:cs="Arial"/>
        </w:rPr>
        <w:t xml:space="preserve"> admission to an educational institution </w:t>
      </w:r>
      <w:r w:rsidR="0064193E">
        <w:rPr>
          <w:rFonts w:ascii="Arial" w:hAnsi="Arial" w:cs="Arial"/>
        </w:rPr>
        <w:t xml:space="preserve">conducted for students, </w:t>
      </w:r>
      <w:r>
        <w:rPr>
          <w:rFonts w:ascii="Arial" w:hAnsi="Arial" w:cs="Arial"/>
        </w:rPr>
        <w:t>or</w:t>
      </w:r>
      <w:r w:rsidR="0064193E">
        <w:rPr>
          <w:rFonts w:ascii="Arial" w:hAnsi="Arial" w:cs="Arial"/>
        </w:rPr>
        <w:t xml:space="preserve"> a</w:t>
      </w:r>
      <w:r>
        <w:rPr>
          <w:rFonts w:ascii="Arial" w:hAnsi="Arial" w:cs="Arial"/>
        </w:rPr>
        <w:t xml:space="preserve"> club </w:t>
      </w:r>
      <w:r w:rsidR="0064193E">
        <w:rPr>
          <w:rFonts w:ascii="Arial" w:hAnsi="Arial" w:cs="Arial"/>
        </w:rPr>
        <w:t>available to persons, of the sex or gender with which the person with the attribute identifies.</w:t>
      </w:r>
      <w:r w:rsidR="00D26098">
        <w:rPr>
          <w:rFonts w:ascii="Arial" w:hAnsi="Arial" w:cs="Arial"/>
        </w:rPr>
        <w:t xml:space="preserve">  Consideration should be given to clarifying policy in relation to whether people who do not identify as either male or female should be protected from exclusion from single sex clubs or schools.</w:t>
      </w:r>
    </w:p>
    <w:p w:rsidR="00D26098" w:rsidRDefault="004B703C" w:rsidP="00E73EFB">
      <w:pPr>
        <w:spacing w:before="240" w:after="120"/>
        <w:jc w:val="both"/>
        <w:rPr>
          <w:rFonts w:ascii="Arial" w:hAnsi="Arial" w:cs="Arial"/>
        </w:rPr>
      </w:pPr>
      <w:r>
        <w:rPr>
          <w:rFonts w:ascii="Arial" w:hAnsi="Arial" w:cs="Arial"/>
        </w:rPr>
        <w:t xml:space="preserve">The Commission recommends the protection of </w:t>
      </w:r>
      <w:r w:rsidR="00FA4FB7">
        <w:rPr>
          <w:rFonts w:ascii="Arial" w:hAnsi="Arial" w:cs="Arial"/>
        </w:rPr>
        <w:t xml:space="preserve">people with the attributes of gender identity or intersex status be clarified </w:t>
      </w:r>
      <w:r w:rsidR="00D26098">
        <w:rPr>
          <w:rFonts w:ascii="Arial" w:hAnsi="Arial" w:cs="Arial"/>
        </w:rPr>
        <w:t>by changing the proposed</w:t>
      </w:r>
      <w:r w:rsidR="00FA4FB7">
        <w:rPr>
          <w:rFonts w:ascii="Arial" w:hAnsi="Arial" w:cs="Arial"/>
        </w:rPr>
        <w:t xml:space="preserve"> amendments to sections 21(3) (education) and 25(3) (clubs).</w:t>
      </w:r>
      <w:r w:rsidR="00D26098">
        <w:rPr>
          <w:rFonts w:ascii="Arial" w:hAnsi="Arial" w:cs="Arial"/>
        </w:rPr>
        <w:t xml:space="preserve">  The problems seem to stem </w:t>
      </w:r>
      <w:r w:rsidR="00F63094">
        <w:rPr>
          <w:rFonts w:ascii="Arial" w:hAnsi="Arial" w:cs="Arial"/>
        </w:rPr>
        <w:t>from use of the word ‘sex’ without a reference to gender.  Further consideration should be given to referring to ‘different sex’ in these and other paragraphs of the Bill.</w:t>
      </w:r>
    </w:p>
    <w:p w:rsidR="009D502F" w:rsidRPr="009D502F" w:rsidRDefault="009D502F" w:rsidP="004C7EC6">
      <w:pPr>
        <w:keepNext/>
        <w:spacing w:before="360" w:after="120"/>
        <w:jc w:val="both"/>
        <w:rPr>
          <w:rFonts w:ascii="Arial" w:hAnsi="Arial" w:cs="Arial"/>
          <w:b/>
        </w:rPr>
      </w:pPr>
      <w:r w:rsidRPr="009D502F">
        <w:rPr>
          <w:rFonts w:ascii="Arial" w:hAnsi="Arial" w:cs="Arial"/>
          <w:b/>
        </w:rPr>
        <w:t>Exemptions</w:t>
      </w:r>
    </w:p>
    <w:p w:rsidR="009D502F" w:rsidRDefault="009D502F" w:rsidP="000D23B7">
      <w:pPr>
        <w:spacing w:before="120" w:after="120"/>
        <w:jc w:val="both"/>
        <w:rPr>
          <w:rFonts w:ascii="Arial" w:hAnsi="Arial" w:cs="Arial"/>
        </w:rPr>
      </w:pPr>
      <w:r>
        <w:rPr>
          <w:rFonts w:ascii="Arial" w:hAnsi="Arial" w:cs="Arial"/>
        </w:rPr>
        <w:t>The Bill extends existing exemptions:</w:t>
      </w:r>
    </w:p>
    <w:p w:rsidR="009D502F" w:rsidRDefault="009D502F" w:rsidP="009D502F">
      <w:pPr>
        <w:pStyle w:val="ListParagraph"/>
        <w:numPr>
          <w:ilvl w:val="0"/>
          <w:numId w:val="7"/>
        </w:numPr>
        <w:spacing w:before="240" w:after="120"/>
        <w:ind w:left="714" w:hanging="357"/>
        <w:contextualSpacing w:val="0"/>
        <w:jc w:val="both"/>
        <w:rPr>
          <w:rFonts w:ascii="Arial" w:hAnsi="Arial" w:cs="Arial"/>
        </w:rPr>
      </w:pPr>
      <w:r>
        <w:rPr>
          <w:rFonts w:ascii="Arial" w:hAnsi="Arial" w:cs="Arial"/>
        </w:rPr>
        <w:t xml:space="preserve">for religious schools – to the new grounds of sexual orientation and gender identity, and the amended ground of marital or relationship status; </w:t>
      </w:r>
    </w:p>
    <w:p w:rsidR="009D502F" w:rsidRDefault="009D502F" w:rsidP="009D502F">
      <w:pPr>
        <w:pStyle w:val="ListParagraph"/>
        <w:numPr>
          <w:ilvl w:val="0"/>
          <w:numId w:val="7"/>
        </w:numPr>
        <w:spacing w:before="240" w:after="120"/>
        <w:ind w:left="714" w:hanging="357"/>
        <w:contextualSpacing w:val="0"/>
        <w:jc w:val="both"/>
        <w:rPr>
          <w:rFonts w:ascii="Arial" w:hAnsi="Arial" w:cs="Arial"/>
        </w:rPr>
      </w:pPr>
      <w:r>
        <w:rPr>
          <w:rFonts w:ascii="Arial" w:hAnsi="Arial" w:cs="Arial"/>
        </w:rPr>
        <w:t>for voluntary bodies – to the new grounds of sexual orientation, gender identity and intersex status, and the amended ground of</w:t>
      </w:r>
      <w:r w:rsidR="000D23B7">
        <w:rPr>
          <w:rFonts w:ascii="Arial" w:hAnsi="Arial" w:cs="Arial"/>
        </w:rPr>
        <w:t xml:space="preserve"> marital or relationship status;</w:t>
      </w:r>
    </w:p>
    <w:p w:rsidR="000D23B7" w:rsidRDefault="000D23B7" w:rsidP="009D502F">
      <w:pPr>
        <w:pStyle w:val="ListParagraph"/>
        <w:numPr>
          <w:ilvl w:val="0"/>
          <w:numId w:val="7"/>
        </w:numPr>
        <w:spacing w:before="240" w:after="120"/>
        <w:ind w:left="714" w:hanging="357"/>
        <w:contextualSpacing w:val="0"/>
        <w:jc w:val="both"/>
        <w:rPr>
          <w:rFonts w:ascii="Arial" w:hAnsi="Arial" w:cs="Arial"/>
        </w:rPr>
      </w:pPr>
      <w:r>
        <w:rPr>
          <w:rFonts w:ascii="Arial" w:hAnsi="Arial" w:cs="Arial"/>
        </w:rPr>
        <w:t>for new and existing superannuation fund conditions – to same-sex de facto couples, through the amended ground of marital or relationship status; and</w:t>
      </w:r>
    </w:p>
    <w:p w:rsidR="000D23B7" w:rsidRDefault="000D23B7" w:rsidP="009D502F">
      <w:pPr>
        <w:pStyle w:val="ListParagraph"/>
        <w:numPr>
          <w:ilvl w:val="0"/>
          <w:numId w:val="7"/>
        </w:numPr>
        <w:spacing w:before="240" w:after="120"/>
        <w:ind w:left="714" w:hanging="357"/>
        <w:contextualSpacing w:val="0"/>
        <w:jc w:val="both"/>
        <w:rPr>
          <w:rFonts w:ascii="Arial" w:hAnsi="Arial" w:cs="Arial"/>
        </w:rPr>
      </w:pPr>
      <w:r>
        <w:rPr>
          <w:rFonts w:ascii="Arial" w:hAnsi="Arial" w:cs="Arial"/>
        </w:rPr>
        <w:t>for sport – to allow discrimination on the ground of sex and the new grounds of gender identity and intersex status by excluding persons from participation in any competitive sporting activity in which the strength, stamina or physique of competitors is relevant.</w:t>
      </w:r>
    </w:p>
    <w:p w:rsidR="009D502F" w:rsidRDefault="009D502F" w:rsidP="009D502F">
      <w:pPr>
        <w:spacing w:before="240" w:after="120"/>
        <w:jc w:val="both"/>
        <w:rPr>
          <w:rFonts w:ascii="Arial" w:hAnsi="Arial" w:cs="Arial"/>
        </w:rPr>
      </w:pPr>
      <w:r>
        <w:rPr>
          <w:rFonts w:ascii="Arial" w:hAnsi="Arial" w:cs="Arial"/>
        </w:rPr>
        <w:t>Two new exemptions apply for the three new grounds of sexual orientation, gender identity and intersex status, to acts done in direct compliance with:</w:t>
      </w:r>
    </w:p>
    <w:p w:rsidR="009D502F" w:rsidRDefault="009D502F" w:rsidP="009D502F">
      <w:pPr>
        <w:pStyle w:val="ListParagraph"/>
        <w:numPr>
          <w:ilvl w:val="0"/>
          <w:numId w:val="7"/>
        </w:numPr>
        <w:spacing w:before="240" w:after="120"/>
        <w:ind w:left="714" w:hanging="357"/>
        <w:contextualSpacing w:val="0"/>
        <w:jc w:val="both"/>
        <w:rPr>
          <w:rFonts w:ascii="Arial" w:hAnsi="Arial" w:cs="Arial"/>
        </w:rPr>
      </w:pPr>
      <w:r>
        <w:rPr>
          <w:rFonts w:ascii="Arial" w:hAnsi="Arial" w:cs="Arial"/>
        </w:rPr>
        <w:t xml:space="preserve">the </w:t>
      </w:r>
      <w:r w:rsidRPr="009D502F">
        <w:rPr>
          <w:rFonts w:ascii="Arial" w:hAnsi="Arial" w:cs="Arial"/>
          <w:i/>
        </w:rPr>
        <w:t>Marriage Act 1961</w:t>
      </w:r>
      <w:r>
        <w:rPr>
          <w:rFonts w:ascii="Arial" w:hAnsi="Arial" w:cs="Arial"/>
        </w:rPr>
        <w:t>; and</w:t>
      </w:r>
    </w:p>
    <w:p w:rsidR="009D502F" w:rsidRDefault="009D502F" w:rsidP="009D502F">
      <w:pPr>
        <w:pStyle w:val="ListParagraph"/>
        <w:numPr>
          <w:ilvl w:val="0"/>
          <w:numId w:val="7"/>
        </w:numPr>
        <w:spacing w:before="240" w:after="120"/>
        <w:ind w:left="714" w:hanging="357"/>
        <w:contextualSpacing w:val="0"/>
        <w:jc w:val="both"/>
        <w:rPr>
          <w:rFonts w:ascii="Arial" w:hAnsi="Arial" w:cs="Arial"/>
        </w:rPr>
      </w:pPr>
      <w:proofErr w:type="gramStart"/>
      <w:r>
        <w:rPr>
          <w:rFonts w:ascii="Arial" w:hAnsi="Arial" w:cs="Arial"/>
        </w:rPr>
        <w:t>a</w:t>
      </w:r>
      <w:proofErr w:type="gramEnd"/>
      <w:r>
        <w:rPr>
          <w:rFonts w:ascii="Arial" w:hAnsi="Arial" w:cs="Arial"/>
        </w:rPr>
        <w:t xml:space="preserve"> law of the Commonwealth, State or Territory prescribed by the regulations for the purpose of the section.</w:t>
      </w:r>
    </w:p>
    <w:p w:rsidR="004C7EC6" w:rsidRDefault="004C7EC6" w:rsidP="004C7EC6">
      <w:pPr>
        <w:spacing w:before="240" w:after="120"/>
        <w:jc w:val="both"/>
        <w:rPr>
          <w:rFonts w:ascii="Arial" w:hAnsi="Arial" w:cs="Arial"/>
        </w:rPr>
      </w:pPr>
      <w:r w:rsidRPr="004C7EC6">
        <w:rPr>
          <w:rFonts w:ascii="Arial" w:hAnsi="Arial" w:cs="Arial"/>
        </w:rPr>
        <w:t xml:space="preserve">The </w:t>
      </w:r>
      <w:r>
        <w:rPr>
          <w:rFonts w:ascii="Arial" w:hAnsi="Arial" w:cs="Arial"/>
        </w:rPr>
        <w:t xml:space="preserve">Commission </w:t>
      </w:r>
      <w:r w:rsidR="0054057C">
        <w:rPr>
          <w:rFonts w:ascii="Arial" w:hAnsi="Arial" w:cs="Arial"/>
        </w:rPr>
        <w:t>urges</w:t>
      </w:r>
      <w:r>
        <w:rPr>
          <w:rFonts w:ascii="Arial" w:hAnsi="Arial" w:cs="Arial"/>
        </w:rPr>
        <w:t xml:space="preserve"> </w:t>
      </w:r>
      <w:r w:rsidR="0054057C">
        <w:rPr>
          <w:rFonts w:ascii="Arial" w:hAnsi="Arial" w:cs="Arial"/>
        </w:rPr>
        <w:t xml:space="preserve">the Government to </w:t>
      </w:r>
      <w:r>
        <w:rPr>
          <w:rFonts w:ascii="Arial" w:hAnsi="Arial" w:cs="Arial"/>
        </w:rPr>
        <w:t>improv</w:t>
      </w:r>
      <w:r w:rsidR="0054057C">
        <w:rPr>
          <w:rFonts w:ascii="Arial" w:hAnsi="Arial" w:cs="Arial"/>
        </w:rPr>
        <w:t>e</w:t>
      </w:r>
      <w:r>
        <w:rPr>
          <w:rFonts w:ascii="Arial" w:hAnsi="Arial" w:cs="Arial"/>
        </w:rPr>
        <w:t xml:space="preserve"> </w:t>
      </w:r>
      <w:r w:rsidR="0054057C">
        <w:rPr>
          <w:rFonts w:ascii="Arial" w:hAnsi="Arial" w:cs="Arial"/>
        </w:rPr>
        <w:t xml:space="preserve">substantive </w:t>
      </w:r>
      <w:r>
        <w:rPr>
          <w:rFonts w:ascii="Arial" w:hAnsi="Arial" w:cs="Arial"/>
        </w:rPr>
        <w:t xml:space="preserve">equality for </w:t>
      </w:r>
      <w:r w:rsidR="0054057C">
        <w:rPr>
          <w:rFonts w:ascii="Arial" w:hAnsi="Arial" w:cs="Arial"/>
        </w:rPr>
        <w:t>everyone regardless of their sexual orientation</w:t>
      </w:r>
      <w:r>
        <w:rPr>
          <w:rFonts w:ascii="Arial" w:hAnsi="Arial" w:cs="Arial"/>
        </w:rPr>
        <w:t xml:space="preserve"> </w:t>
      </w:r>
      <w:r w:rsidR="0054057C">
        <w:rPr>
          <w:rFonts w:ascii="Arial" w:hAnsi="Arial" w:cs="Arial"/>
        </w:rPr>
        <w:t xml:space="preserve">by amending the </w:t>
      </w:r>
      <w:r w:rsidR="0054057C" w:rsidRPr="0054057C">
        <w:rPr>
          <w:rFonts w:ascii="Arial" w:hAnsi="Arial" w:cs="Arial"/>
          <w:i/>
        </w:rPr>
        <w:t>Marriage Act</w:t>
      </w:r>
      <w:r w:rsidR="0054057C">
        <w:rPr>
          <w:rFonts w:ascii="Arial" w:hAnsi="Arial" w:cs="Arial"/>
        </w:rPr>
        <w:t xml:space="preserve"> to allow for marriage between people of the same sex.</w:t>
      </w:r>
    </w:p>
    <w:p w:rsidR="0054057C" w:rsidRPr="004C7EC6" w:rsidRDefault="0054057C" w:rsidP="004C7EC6">
      <w:pPr>
        <w:spacing w:before="240" w:after="120"/>
        <w:jc w:val="both"/>
        <w:rPr>
          <w:rFonts w:ascii="Arial" w:hAnsi="Arial" w:cs="Arial"/>
        </w:rPr>
      </w:pPr>
      <w:r>
        <w:rPr>
          <w:rFonts w:ascii="Arial" w:hAnsi="Arial" w:cs="Arial"/>
        </w:rPr>
        <w:t xml:space="preserve">However, without amendment of the </w:t>
      </w:r>
      <w:r w:rsidRPr="0054057C">
        <w:rPr>
          <w:rFonts w:ascii="Arial" w:hAnsi="Arial" w:cs="Arial"/>
          <w:i/>
        </w:rPr>
        <w:t>Marriage Act</w:t>
      </w:r>
      <w:r>
        <w:rPr>
          <w:rFonts w:ascii="Arial" w:hAnsi="Arial" w:cs="Arial"/>
        </w:rPr>
        <w:t xml:space="preserve"> this new exemption is arguably necessary to protect marriage celebrants and registers of births, deaths and marriages.</w:t>
      </w:r>
    </w:p>
    <w:p w:rsidR="004C7EC6" w:rsidRPr="004C7EC6" w:rsidRDefault="004C7EC6" w:rsidP="0054057C">
      <w:pPr>
        <w:keepNext/>
        <w:spacing w:before="360" w:after="120"/>
        <w:jc w:val="both"/>
        <w:rPr>
          <w:rFonts w:ascii="Arial" w:hAnsi="Arial" w:cs="Arial"/>
          <w:b/>
        </w:rPr>
      </w:pPr>
      <w:r w:rsidRPr="004C7EC6">
        <w:rPr>
          <w:rFonts w:ascii="Arial" w:hAnsi="Arial" w:cs="Arial"/>
          <w:b/>
        </w:rPr>
        <w:t>Record keeping and requests for information</w:t>
      </w:r>
    </w:p>
    <w:p w:rsidR="004C7EC6" w:rsidRDefault="004C7EC6" w:rsidP="0054057C">
      <w:pPr>
        <w:spacing w:before="120" w:after="120"/>
        <w:jc w:val="both"/>
        <w:rPr>
          <w:rFonts w:ascii="Arial" w:hAnsi="Arial" w:cs="Arial"/>
        </w:rPr>
      </w:pPr>
      <w:r>
        <w:rPr>
          <w:rFonts w:ascii="Arial" w:hAnsi="Arial" w:cs="Arial"/>
        </w:rPr>
        <w:t xml:space="preserve">The Bill provides for new exemptions for requesting information and keeping records.  It will not be unlawful to request information that does not allow for a person to identify as being neither male nor female, and it will not be unlawful to keep records in a way that does not provide for a person to be identified as being neither male </w:t>
      </w:r>
      <w:r w:rsidR="0054057C">
        <w:rPr>
          <w:rFonts w:ascii="Arial" w:hAnsi="Arial" w:cs="Arial"/>
        </w:rPr>
        <w:t>n</w:t>
      </w:r>
      <w:r>
        <w:rPr>
          <w:rFonts w:ascii="Arial" w:hAnsi="Arial" w:cs="Arial"/>
        </w:rPr>
        <w:t>or female.</w:t>
      </w:r>
    </w:p>
    <w:p w:rsidR="004C7EC6" w:rsidRDefault="004C7EC6" w:rsidP="004C7EC6">
      <w:pPr>
        <w:spacing w:before="240" w:after="120"/>
        <w:jc w:val="both"/>
        <w:rPr>
          <w:rFonts w:ascii="Arial" w:hAnsi="Arial" w:cs="Arial"/>
        </w:rPr>
      </w:pPr>
      <w:r>
        <w:rPr>
          <w:rFonts w:ascii="Arial" w:hAnsi="Arial" w:cs="Arial"/>
        </w:rPr>
        <w:t>According to the Explanatory Memorandum the rationale for these new exemptions is to ensure there is no requirement to amend forms, because this might be onerous for organisations.  It also states that the need for these exemptions may be reconsidered in the future if organisations have revised their data collection and record keeping practices.</w:t>
      </w:r>
    </w:p>
    <w:p w:rsidR="004C7EC6" w:rsidRDefault="004C7EC6" w:rsidP="004C7EC6">
      <w:pPr>
        <w:spacing w:before="240" w:after="120"/>
        <w:jc w:val="both"/>
        <w:rPr>
          <w:rFonts w:ascii="Arial" w:hAnsi="Arial" w:cs="Arial"/>
        </w:rPr>
      </w:pPr>
      <w:r>
        <w:rPr>
          <w:rFonts w:ascii="Arial" w:hAnsi="Arial" w:cs="Arial"/>
        </w:rPr>
        <w:t>It is noted that the Government is currently developing guidelines on gender recognition for departments and agencies.</w:t>
      </w:r>
      <w:r w:rsidR="0054057C">
        <w:rPr>
          <w:rFonts w:ascii="Arial" w:hAnsi="Arial" w:cs="Arial"/>
        </w:rPr>
        <w:t xml:space="preserve">  The consultation draft</w:t>
      </w:r>
      <w:r w:rsidR="004671A4">
        <w:rPr>
          <w:rFonts w:ascii="Arial" w:hAnsi="Arial" w:cs="Arial"/>
        </w:rPr>
        <w:t xml:space="preserve"> of the Australian Government Guidelines on the Recognition of Gender released for comment in March 2013 provides, at paragraph 17:</w:t>
      </w:r>
    </w:p>
    <w:p w:rsidR="004671A4" w:rsidRPr="004671A4" w:rsidRDefault="004671A4" w:rsidP="004671A4">
      <w:pPr>
        <w:spacing w:before="240" w:after="120"/>
        <w:ind w:left="720" w:right="515"/>
        <w:jc w:val="both"/>
        <w:rPr>
          <w:rFonts w:ascii="Arial" w:hAnsi="Arial" w:cs="Arial"/>
          <w:sz w:val="22"/>
          <w:szCs w:val="22"/>
        </w:rPr>
      </w:pPr>
      <w:r>
        <w:rPr>
          <w:rFonts w:ascii="Arial" w:hAnsi="Arial" w:cs="Arial"/>
          <w:sz w:val="22"/>
          <w:szCs w:val="22"/>
        </w:rPr>
        <w:t>Where sex and/or gender information is collected and recorded in a personal record, individuals should be given the option to select M (male), F (female) or X (Indeterminate/Intersex/Unspecified).</w:t>
      </w:r>
    </w:p>
    <w:p w:rsidR="004671A4" w:rsidRDefault="004671A4" w:rsidP="004C7EC6">
      <w:pPr>
        <w:spacing w:before="240" w:after="120"/>
        <w:jc w:val="both"/>
        <w:rPr>
          <w:rFonts w:ascii="Arial" w:hAnsi="Arial" w:cs="Arial"/>
        </w:rPr>
      </w:pPr>
      <w:r>
        <w:rPr>
          <w:rFonts w:ascii="Arial" w:hAnsi="Arial" w:cs="Arial"/>
        </w:rPr>
        <w:t>This classification is consistent with the passport policy for sex and gender diverse applicants announced in 2011.</w:t>
      </w:r>
    </w:p>
    <w:p w:rsidR="004671A4" w:rsidRDefault="004671A4" w:rsidP="004C7EC6">
      <w:pPr>
        <w:spacing w:before="240" w:after="120"/>
        <w:jc w:val="both"/>
        <w:rPr>
          <w:rFonts w:ascii="Arial" w:hAnsi="Arial" w:cs="Arial"/>
        </w:rPr>
      </w:pPr>
      <w:r>
        <w:rPr>
          <w:rFonts w:ascii="Arial" w:hAnsi="Arial" w:cs="Arial"/>
        </w:rPr>
        <w:t xml:space="preserve">The Commission acknowledges that an exemption of this nature may be necessary to minimise the regulatory impact of the new protections in the Bill.  However, the Commission considers the proposed exemption should apply for a limited time only so as to allow both the public and the private sector to introduce changes to record keeping and information request </w:t>
      </w:r>
      <w:r w:rsidR="00CB3EF4">
        <w:rPr>
          <w:rFonts w:ascii="Arial" w:hAnsi="Arial" w:cs="Arial"/>
        </w:rPr>
        <w:t xml:space="preserve">over a period of time.  The Commission recommends the proposed exemption </w:t>
      </w:r>
      <w:r>
        <w:rPr>
          <w:rFonts w:ascii="Arial" w:hAnsi="Arial" w:cs="Arial"/>
        </w:rPr>
        <w:t>provide</w:t>
      </w:r>
      <w:r w:rsidR="00CB3EF4">
        <w:rPr>
          <w:rFonts w:ascii="Arial" w:hAnsi="Arial" w:cs="Arial"/>
        </w:rPr>
        <w:t xml:space="preserve"> that it applies for a specific</w:t>
      </w:r>
      <w:r>
        <w:rPr>
          <w:rFonts w:ascii="Arial" w:hAnsi="Arial" w:cs="Arial"/>
        </w:rPr>
        <w:t xml:space="preserve"> period of time</w:t>
      </w:r>
      <w:r w:rsidR="00CB3EF4">
        <w:rPr>
          <w:rFonts w:ascii="Arial" w:hAnsi="Arial" w:cs="Arial"/>
        </w:rPr>
        <w:t>, such as one or two years from commencement.</w:t>
      </w:r>
    </w:p>
    <w:p w:rsidR="00CB3EF4" w:rsidRPr="00CB3EF4" w:rsidRDefault="00CB3EF4" w:rsidP="00CB3EF4">
      <w:pPr>
        <w:keepNext/>
        <w:spacing w:before="360" w:after="120"/>
        <w:jc w:val="both"/>
        <w:rPr>
          <w:rFonts w:ascii="Arial" w:hAnsi="Arial" w:cs="Arial"/>
          <w:b/>
        </w:rPr>
      </w:pPr>
      <w:r w:rsidRPr="00CB3EF4">
        <w:rPr>
          <w:rFonts w:ascii="Arial" w:hAnsi="Arial" w:cs="Arial"/>
          <w:b/>
        </w:rPr>
        <w:t>Conclusion</w:t>
      </w:r>
    </w:p>
    <w:p w:rsidR="00CB3EF4" w:rsidRDefault="00CB3EF4" w:rsidP="004C7EC6">
      <w:pPr>
        <w:spacing w:before="240" w:after="120"/>
        <w:jc w:val="both"/>
        <w:rPr>
          <w:rFonts w:ascii="Arial" w:hAnsi="Arial" w:cs="Arial"/>
        </w:rPr>
      </w:pPr>
      <w:r>
        <w:rPr>
          <w:rFonts w:ascii="Arial" w:hAnsi="Arial" w:cs="Arial"/>
        </w:rPr>
        <w:t>The Commission recommends:</w:t>
      </w:r>
    </w:p>
    <w:p w:rsidR="00CB3EF4" w:rsidRDefault="00F63094" w:rsidP="00CB3EF4">
      <w:pPr>
        <w:pStyle w:val="ListParagraph"/>
        <w:numPr>
          <w:ilvl w:val="0"/>
          <w:numId w:val="8"/>
        </w:numPr>
        <w:spacing w:before="240" w:after="120"/>
        <w:ind w:left="714" w:hanging="357"/>
        <w:contextualSpacing w:val="0"/>
        <w:jc w:val="both"/>
        <w:rPr>
          <w:rFonts w:ascii="Arial" w:hAnsi="Arial" w:cs="Arial"/>
        </w:rPr>
      </w:pPr>
      <w:r>
        <w:rPr>
          <w:rFonts w:ascii="Arial" w:hAnsi="Arial" w:cs="Arial"/>
        </w:rPr>
        <w:t>Changing the proposed amendments to sections 21(3) (education) and 25(3) (clubs);</w:t>
      </w:r>
    </w:p>
    <w:p w:rsidR="00CB3EF4" w:rsidRDefault="00F63094" w:rsidP="00CB3EF4">
      <w:pPr>
        <w:pStyle w:val="ListParagraph"/>
        <w:numPr>
          <w:ilvl w:val="0"/>
          <w:numId w:val="8"/>
        </w:numPr>
        <w:spacing w:before="240" w:after="120"/>
        <w:ind w:left="714" w:hanging="357"/>
        <w:contextualSpacing w:val="0"/>
        <w:jc w:val="both"/>
        <w:rPr>
          <w:rFonts w:ascii="Arial" w:hAnsi="Arial" w:cs="Arial"/>
        </w:rPr>
      </w:pPr>
      <w:r>
        <w:rPr>
          <w:rFonts w:ascii="Arial" w:hAnsi="Arial" w:cs="Arial"/>
        </w:rPr>
        <w:t>Reviewing the expression ‘different sex’ where it is proposed in the Bill; and</w:t>
      </w:r>
    </w:p>
    <w:p w:rsidR="00F63094" w:rsidRDefault="00F63094" w:rsidP="00CB3EF4">
      <w:pPr>
        <w:pStyle w:val="ListParagraph"/>
        <w:numPr>
          <w:ilvl w:val="0"/>
          <w:numId w:val="8"/>
        </w:numPr>
        <w:spacing w:before="240" w:after="120"/>
        <w:ind w:left="714" w:hanging="357"/>
        <w:contextualSpacing w:val="0"/>
        <w:jc w:val="both"/>
        <w:rPr>
          <w:rFonts w:ascii="Arial" w:hAnsi="Arial" w:cs="Arial"/>
        </w:rPr>
      </w:pPr>
      <w:r>
        <w:rPr>
          <w:rFonts w:ascii="Arial" w:hAnsi="Arial" w:cs="Arial"/>
        </w:rPr>
        <w:t>Limiting the new exemption for record keeping and requests for information for a specified period from commencement.</w:t>
      </w:r>
    </w:p>
    <w:p w:rsidR="00CB3EF4" w:rsidRDefault="00CB3EF4" w:rsidP="00CB3EF4">
      <w:pPr>
        <w:spacing w:before="240" w:after="120"/>
        <w:jc w:val="both"/>
        <w:rPr>
          <w:rFonts w:ascii="Arial" w:hAnsi="Arial" w:cs="Arial"/>
        </w:rPr>
      </w:pPr>
      <w:r>
        <w:rPr>
          <w:rFonts w:ascii="Arial" w:hAnsi="Arial" w:cs="Arial"/>
        </w:rPr>
        <w:t>The Commission strongly supports extending protections from discrimination to the new grounds of sexual orientation, gender identity and intersex status, and the amended ground of marital and relationship status.</w:t>
      </w:r>
    </w:p>
    <w:p w:rsidR="00CB3EF4" w:rsidRDefault="00CB3EF4" w:rsidP="0060598E">
      <w:pPr>
        <w:spacing w:before="480" w:after="120"/>
        <w:jc w:val="both"/>
        <w:rPr>
          <w:rFonts w:ascii="Arial" w:hAnsi="Arial" w:cs="Arial"/>
        </w:rPr>
      </w:pPr>
      <w:r>
        <w:rPr>
          <w:rFonts w:ascii="Arial" w:hAnsi="Arial" w:cs="Arial"/>
        </w:rPr>
        <w:t>Yours sincerely</w:t>
      </w:r>
    </w:p>
    <w:p w:rsidR="00CB3EF4" w:rsidRDefault="00AD2215" w:rsidP="00CB3EF4">
      <w:pPr>
        <w:spacing w:before="240" w:after="120"/>
        <w:jc w:val="both"/>
        <w:rPr>
          <w:rFonts w:ascii="Arial" w:hAnsi="Arial" w:cs="Arial"/>
        </w:rPr>
      </w:pPr>
      <w:r>
        <w:rPr>
          <w:rFonts w:ascii="Arial" w:hAnsi="Arial" w:cs="Arial"/>
          <w:noProof/>
        </w:rPr>
        <w:drawing>
          <wp:inline distT="0" distB="0" distL="0" distR="0" wp14:anchorId="348EED15" wp14:editId="6A2A1159">
            <wp:extent cx="1162050" cy="7427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453" cy="743650"/>
                    </a:xfrm>
                    <a:prstGeom prst="rect">
                      <a:avLst/>
                    </a:prstGeom>
                  </pic:spPr>
                </pic:pic>
              </a:graphicData>
            </a:graphic>
          </wp:inline>
        </w:drawing>
      </w:r>
    </w:p>
    <w:p w:rsidR="00CB3EF4" w:rsidRPr="0060598E" w:rsidRDefault="00CB3EF4" w:rsidP="00CB3EF4">
      <w:pPr>
        <w:jc w:val="both"/>
        <w:rPr>
          <w:rFonts w:ascii="Arial" w:hAnsi="Arial" w:cs="Arial"/>
          <w:b/>
        </w:rPr>
      </w:pPr>
      <w:r w:rsidRPr="0060598E">
        <w:rPr>
          <w:rFonts w:ascii="Arial" w:hAnsi="Arial" w:cs="Arial"/>
          <w:b/>
        </w:rPr>
        <w:t>KEVIN COCKS AM</w:t>
      </w:r>
    </w:p>
    <w:p w:rsidR="00CB3EF4" w:rsidRPr="0060598E" w:rsidRDefault="00CB3EF4" w:rsidP="00CB3EF4">
      <w:pPr>
        <w:jc w:val="both"/>
        <w:rPr>
          <w:rFonts w:ascii="Arial" w:hAnsi="Arial" w:cs="Arial"/>
          <w:b/>
        </w:rPr>
      </w:pPr>
      <w:r w:rsidRPr="0060598E">
        <w:rPr>
          <w:rFonts w:ascii="Arial" w:hAnsi="Arial" w:cs="Arial"/>
          <w:b/>
        </w:rPr>
        <w:t>Anti-Discrimination Commissioner</w:t>
      </w:r>
    </w:p>
    <w:sectPr w:rsidR="00CB3EF4" w:rsidRPr="0060598E" w:rsidSect="00F63094">
      <w:headerReference w:type="default" r:id="rId10"/>
      <w:footerReference w:type="first" r:id="rId11"/>
      <w:pgSz w:w="11906" w:h="16838" w:code="9"/>
      <w:pgMar w:top="1440" w:right="1797" w:bottom="1440" w:left="179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98" w:rsidRDefault="00D26098">
      <w:r>
        <w:separator/>
      </w:r>
    </w:p>
  </w:endnote>
  <w:endnote w:type="continuationSeparator" w:id="0">
    <w:p w:rsidR="00D26098" w:rsidRDefault="00D2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98" w:rsidRDefault="00D26098">
    <w:pPr>
      <w:pStyle w:val="Footer"/>
    </w:pPr>
  </w:p>
  <w:p w:rsidR="00D26098" w:rsidRDefault="00D26098">
    <w:pPr>
      <w:pStyle w:val="Footer"/>
    </w:pPr>
  </w:p>
  <w:p w:rsidR="00D26098" w:rsidRDefault="00D26098">
    <w:pPr>
      <w:pStyle w:val="Footer"/>
    </w:pPr>
  </w:p>
  <w:p w:rsidR="00D26098" w:rsidRDefault="00D26098">
    <w:pPr>
      <w:pStyle w:val="Footer"/>
    </w:pPr>
  </w:p>
  <w:p w:rsidR="00D26098" w:rsidRDefault="00D26098">
    <w:pPr>
      <w:pStyle w:val="Footer"/>
    </w:pPr>
  </w:p>
  <w:p w:rsidR="00D26098" w:rsidRDefault="00D2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98" w:rsidRDefault="00D26098">
      <w:r>
        <w:separator/>
      </w:r>
    </w:p>
  </w:footnote>
  <w:footnote w:type="continuationSeparator" w:id="0">
    <w:p w:rsidR="00D26098" w:rsidRDefault="00D26098">
      <w:r>
        <w:continuationSeparator/>
      </w:r>
    </w:p>
  </w:footnote>
  <w:footnote w:id="1">
    <w:p w:rsidR="00D26098" w:rsidRPr="00296E3C" w:rsidRDefault="00D26098">
      <w:pPr>
        <w:pStyle w:val="FootnoteText"/>
        <w:rPr>
          <w:rFonts w:ascii="Arial" w:hAnsi="Arial" w:cs="Arial"/>
          <w:lang w:val="en-US"/>
        </w:rPr>
      </w:pPr>
      <w:r w:rsidRPr="00296E3C">
        <w:rPr>
          <w:rStyle w:val="FootnoteReference"/>
          <w:rFonts w:ascii="Arial" w:hAnsi="Arial" w:cs="Arial"/>
        </w:rPr>
        <w:footnoteRef/>
      </w:r>
      <w:r w:rsidRPr="00296E3C">
        <w:rPr>
          <w:rFonts w:ascii="Arial" w:hAnsi="Arial" w:cs="Arial"/>
        </w:rPr>
        <w:t xml:space="preserve"> </w:t>
      </w:r>
      <w:r w:rsidRPr="00296E3C">
        <w:rPr>
          <w:rFonts w:ascii="Arial" w:hAnsi="Arial" w:cs="Arial"/>
          <w:lang w:val="en-US"/>
        </w:rPr>
        <w:t xml:space="preserve">See </w:t>
      </w:r>
      <w:r w:rsidRPr="00296E3C">
        <w:rPr>
          <w:rFonts w:ascii="Arial" w:hAnsi="Arial" w:cs="Arial"/>
          <w:i/>
          <w:lang w:val="en-US"/>
        </w:rPr>
        <w:t>Anti-Discrimination Act 1991</w:t>
      </w:r>
      <w:r w:rsidRPr="00296E3C">
        <w:rPr>
          <w:rFonts w:ascii="Arial" w:hAnsi="Arial" w:cs="Arial"/>
          <w:lang w:val="en-US"/>
        </w:rPr>
        <w:t xml:space="preserve"> (</w:t>
      </w:r>
      <w:proofErr w:type="spellStart"/>
      <w:r w:rsidRPr="00296E3C">
        <w:rPr>
          <w:rFonts w:ascii="Arial" w:hAnsi="Arial" w:cs="Arial"/>
          <w:lang w:val="en-US"/>
        </w:rPr>
        <w:t>Qld</w:t>
      </w:r>
      <w:proofErr w:type="spellEnd"/>
      <w:r w:rsidRPr="00296E3C">
        <w:rPr>
          <w:rFonts w:ascii="Arial" w:hAnsi="Arial" w:cs="Arial"/>
          <w:lang w:val="en-US"/>
        </w:rPr>
        <w:t>), section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98" w:rsidRDefault="00D26098">
    <w:pPr>
      <w:pStyle w:val="Header"/>
      <w:rPr>
        <w:rFonts w:ascii="Arial" w:hAnsi="Arial" w:cs="Arial"/>
        <w:sz w:val="20"/>
        <w:szCs w:val="20"/>
      </w:rPr>
    </w:pPr>
    <w:r>
      <w:rPr>
        <w:rFonts w:ascii="Arial" w:hAnsi="Arial" w:cs="Arial"/>
        <w:sz w:val="20"/>
        <w:szCs w:val="20"/>
      </w:rPr>
      <w:t>Sex Discrimination Amendment (Sexual Orientation, Gender Identity and Intersex Status) Bill 2013</w:t>
    </w:r>
  </w:p>
  <w:p w:rsidR="00D26098" w:rsidRDefault="00D26098" w:rsidP="00870393">
    <w:pPr>
      <w:pStyle w:val="Header"/>
      <w:pBdr>
        <w:bottom w:val="single" w:sz="4" w:space="1" w:color="auto"/>
      </w:pBdr>
      <w:jc w:val="right"/>
      <w:rPr>
        <w:rFonts w:ascii="Arial" w:hAnsi="Arial" w:cs="Arial"/>
        <w:sz w:val="20"/>
        <w:szCs w:val="20"/>
      </w:rPr>
    </w:pPr>
    <w:r w:rsidRPr="00870393">
      <w:rPr>
        <w:rFonts w:ascii="Arial" w:hAnsi="Arial" w:cs="Arial"/>
        <w:sz w:val="20"/>
        <w:szCs w:val="20"/>
      </w:rPr>
      <w:t xml:space="preserve">Page </w:t>
    </w:r>
    <w:r w:rsidRPr="00870393">
      <w:rPr>
        <w:rFonts w:ascii="Arial" w:hAnsi="Arial" w:cs="Arial"/>
        <w:sz w:val="20"/>
        <w:szCs w:val="20"/>
      </w:rPr>
      <w:fldChar w:fldCharType="begin"/>
    </w:r>
    <w:r w:rsidRPr="00870393">
      <w:rPr>
        <w:rFonts w:ascii="Arial" w:hAnsi="Arial" w:cs="Arial"/>
        <w:sz w:val="20"/>
        <w:szCs w:val="20"/>
      </w:rPr>
      <w:instrText xml:space="preserve"> PAGE  \* Arabic  \* MERGEFORMAT </w:instrText>
    </w:r>
    <w:r w:rsidRPr="00870393">
      <w:rPr>
        <w:rFonts w:ascii="Arial" w:hAnsi="Arial" w:cs="Arial"/>
        <w:sz w:val="20"/>
        <w:szCs w:val="20"/>
      </w:rPr>
      <w:fldChar w:fldCharType="separate"/>
    </w:r>
    <w:r w:rsidR="00E94C4E">
      <w:rPr>
        <w:rFonts w:ascii="Arial" w:hAnsi="Arial" w:cs="Arial"/>
        <w:noProof/>
        <w:sz w:val="20"/>
        <w:szCs w:val="20"/>
      </w:rPr>
      <w:t>6</w:t>
    </w:r>
    <w:r w:rsidRPr="00870393">
      <w:rPr>
        <w:rFonts w:ascii="Arial" w:hAnsi="Arial" w:cs="Arial"/>
        <w:sz w:val="20"/>
        <w:szCs w:val="20"/>
      </w:rPr>
      <w:fldChar w:fldCharType="end"/>
    </w:r>
    <w:r w:rsidRPr="00870393">
      <w:rPr>
        <w:rFonts w:ascii="Arial" w:hAnsi="Arial" w:cs="Arial"/>
        <w:sz w:val="20"/>
        <w:szCs w:val="20"/>
      </w:rPr>
      <w:t xml:space="preserve"> of </w:t>
    </w:r>
    <w:r w:rsidRPr="00870393">
      <w:rPr>
        <w:rFonts w:ascii="Arial" w:hAnsi="Arial" w:cs="Arial"/>
        <w:sz w:val="20"/>
        <w:szCs w:val="20"/>
      </w:rPr>
      <w:fldChar w:fldCharType="begin"/>
    </w:r>
    <w:r w:rsidRPr="00870393">
      <w:rPr>
        <w:rFonts w:ascii="Arial" w:hAnsi="Arial" w:cs="Arial"/>
        <w:sz w:val="20"/>
        <w:szCs w:val="20"/>
      </w:rPr>
      <w:instrText xml:space="preserve"> NUMPAGES  \* Arabic  \* MERGEFORMAT </w:instrText>
    </w:r>
    <w:r w:rsidRPr="00870393">
      <w:rPr>
        <w:rFonts w:ascii="Arial" w:hAnsi="Arial" w:cs="Arial"/>
        <w:sz w:val="20"/>
        <w:szCs w:val="20"/>
      </w:rPr>
      <w:fldChar w:fldCharType="separate"/>
    </w:r>
    <w:r w:rsidR="00E94C4E">
      <w:rPr>
        <w:rFonts w:ascii="Arial" w:hAnsi="Arial" w:cs="Arial"/>
        <w:noProof/>
        <w:sz w:val="20"/>
        <w:szCs w:val="20"/>
      </w:rPr>
      <w:t>6</w:t>
    </w:r>
    <w:r w:rsidRPr="00870393">
      <w:rPr>
        <w:rFonts w:ascii="Arial" w:hAnsi="Arial" w:cs="Arial"/>
        <w:sz w:val="20"/>
        <w:szCs w:val="20"/>
      </w:rPr>
      <w:fldChar w:fldCharType="end"/>
    </w:r>
  </w:p>
  <w:p w:rsidR="00D26098" w:rsidRDefault="00D26098" w:rsidP="00870393">
    <w:pPr>
      <w:pStyle w:val="Header"/>
      <w:jc w:val="right"/>
      <w:rPr>
        <w:rFonts w:ascii="Arial" w:hAnsi="Arial" w:cs="Arial"/>
        <w:sz w:val="20"/>
        <w:szCs w:val="20"/>
      </w:rPr>
    </w:pPr>
  </w:p>
  <w:p w:rsidR="00D26098" w:rsidRPr="00870393" w:rsidRDefault="00D26098" w:rsidP="00870393">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4D7"/>
    <w:multiLevelType w:val="hybridMultilevel"/>
    <w:tmpl w:val="53B4A6E8"/>
    <w:lvl w:ilvl="0" w:tplc="4A54F292">
      <w:start w:val="1"/>
      <w:numFmt w:val="lowerLetter"/>
      <w:lvlText w:val="(%1)"/>
      <w:lvlJc w:val="left"/>
      <w:pPr>
        <w:ind w:left="2508" w:hanging="360"/>
      </w:pPr>
      <w:rPr>
        <w:rFonts w:hint="default"/>
      </w:rPr>
    </w:lvl>
    <w:lvl w:ilvl="1" w:tplc="0C090019" w:tentative="1">
      <w:start w:val="1"/>
      <w:numFmt w:val="lowerLetter"/>
      <w:lvlText w:val="%2."/>
      <w:lvlJc w:val="left"/>
      <w:pPr>
        <w:ind w:left="3228" w:hanging="360"/>
      </w:pPr>
    </w:lvl>
    <w:lvl w:ilvl="2" w:tplc="0C09001B" w:tentative="1">
      <w:start w:val="1"/>
      <w:numFmt w:val="lowerRoman"/>
      <w:lvlText w:val="%3."/>
      <w:lvlJc w:val="right"/>
      <w:pPr>
        <w:ind w:left="3948" w:hanging="180"/>
      </w:pPr>
    </w:lvl>
    <w:lvl w:ilvl="3" w:tplc="0C09000F" w:tentative="1">
      <w:start w:val="1"/>
      <w:numFmt w:val="decimal"/>
      <w:lvlText w:val="%4."/>
      <w:lvlJc w:val="left"/>
      <w:pPr>
        <w:ind w:left="4668" w:hanging="360"/>
      </w:pPr>
    </w:lvl>
    <w:lvl w:ilvl="4" w:tplc="0C090019" w:tentative="1">
      <w:start w:val="1"/>
      <w:numFmt w:val="lowerLetter"/>
      <w:lvlText w:val="%5."/>
      <w:lvlJc w:val="left"/>
      <w:pPr>
        <w:ind w:left="5388" w:hanging="360"/>
      </w:pPr>
    </w:lvl>
    <w:lvl w:ilvl="5" w:tplc="0C09001B" w:tentative="1">
      <w:start w:val="1"/>
      <w:numFmt w:val="lowerRoman"/>
      <w:lvlText w:val="%6."/>
      <w:lvlJc w:val="right"/>
      <w:pPr>
        <w:ind w:left="6108" w:hanging="180"/>
      </w:pPr>
    </w:lvl>
    <w:lvl w:ilvl="6" w:tplc="0C09000F" w:tentative="1">
      <w:start w:val="1"/>
      <w:numFmt w:val="decimal"/>
      <w:lvlText w:val="%7."/>
      <w:lvlJc w:val="left"/>
      <w:pPr>
        <w:ind w:left="6828" w:hanging="360"/>
      </w:pPr>
    </w:lvl>
    <w:lvl w:ilvl="7" w:tplc="0C090019" w:tentative="1">
      <w:start w:val="1"/>
      <w:numFmt w:val="lowerLetter"/>
      <w:lvlText w:val="%8."/>
      <w:lvlJc w:val="left"/>
      <w:pPr>
        <w:ind w:left="7548" w:hanging="360"/>
      </w:pPr>
    </w:lvl>
    <w:lvl w:ilvl="8" w:tplc="0C09001B" w:tentative="1">
      <w:start w:val="1"/>
      <w:numFmt w:val="lowerRoman"/>
      <w:lvlText w:val="%9."/>
      <w:lvlJc w:val="right"/>
      <w:pPr>
        <w:ind w:left="8268" w:hanging="180"/>
      </w:pPr>
    </w:lvl>
  </w:abstractNum>
  <w:abstractNum w:abstractNumId="1">
    <w:nsid w:val="1F8C742F"/>
    <w:multiLevelType w:val="hybridMultilevel"/>
    <w:tmpl w:val="13A02858"/>
    <w:lvl w:ilvl="0" w:tplc="ECD4215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076D99"/>
    <w:multiLevelType w:val="hybridMultilevel"/>
    <w:tmpl w:val="430EEE36"/>
    <w:lvl w:ilvl="0" w:tplc="1ECA94B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3B1D48"/>
    <w:multiLevelType w:val="hybridMultilevel"/>
    <w:tmpl w:val="94C4930C"/>
    <w:lvl w:ilvl="0" w:tplc="ECD4215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2E3E5B"/>
    <w:multiLevelType w:val="hybridMultilevel"/>
    <w:tmpl w:val="879618E0"/>
    <w:lvl w:ilvl="0" w:tplc="43C2DC6A">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E04037A"/>
    <w:multiLevelType w:val="hybridMultilevel"/>
    <w:tmpl w:val="226E320C"/>
    <w:lvl w:ilvl="0" w:tplc="7C6CB6EA">
      <w:start w:val="1"/>
      <w:numFmt w:val="lowerLetter"/>
      <w:lvlText w:val="(%1)"/>
      <w:lvlJc w:val="left"/>
      <w:pPr>
        <w:ind w:left="2508" w:hanging="360"/>
      </w:pPr>
      <w:rPr>
        <w:rFonts w:hint="default"/>
      </w:rPr>
    </w:lvl>
    <w:lvl w:ilvl="1" w:tplc="0C090019" w:tentative="1">
      <w:start w:val="1"/>
      <w:numFmt w:val="lowerLetter"/>
      <w:lvlText w:val="%2."/>
      <w:lvlJc w:val="left"/>
      <w:pPr>
        <w:ind w:left="3228" w:hanging="360"/>
      </w:pPr>
    </w:lvl>
    <w:lvl w:ilvl="2" w:tplc="0C09001B" w:tentative="1">
      <w:start w:val="1"/>
      <w:numFmt w:val="lowerRoman"/>
      <w:lvlText w:val="%3."/>
      <w:lvlJc w:val="right"/>
      <w:pPr>
        <w:ind w:left="3948" w:hanging="180"/>
      </w:pPr>
    </w:lvl>
    <w:lvl w:ilvl="3" w:tplc="0C09000F" w:tentative="1">
      <w:start w:val="1"/>
      <w:numFmt w:val="decimal"/>
      <w:lvlText w:val="%4."/>
      <w:lvlJc w:val="left"/>
      <w:pPr>
        <w:ind w:left="4668" w:hanging="360"/>
      </w:pPr>
    </w:lvl>
    <w:lvl w:ilvl="4" w:tplc="0C090019" w:tentative="1">
      <w:start w:val="1"/>
      <w:numFmt w:val="lowerLetter"/>
      <w:lvlText w:val="%5."/>
      <w:lvlJc w:val="left"/>
      <w:pPr>
        <w:ind w:left="5388" w:hanging="360"/>
      </w:pPr>
    </w:lvl>
    <w:lvl w:ilvl="5" w:tplc="0C09001B" w:tentative="1">
      <w:start w:val="1"/>
      <w:numFmt w:val="lowerRoman"/>
      <w:lvlText w:val="%6."/>
      <w:lvlJc w:val="right"/>
      <w:pPr>
        <w:ind w:left="6108" w:hanging="180"/>
      </w:pPr>
    </w:lvl>
    <w:lvl w:ilvl="6" w:tplc="0C09000F" w:tentative="1">
      <w:start w:val="1"/>
      <w:numFmt w:val="decimal"/>
      <w:lvlText w:val="%7."/>
      <w:lvlJc w:val="left"/>
      <w:pPr>
        <w:ind w:left="6828" w:hanging="360"/>
      </w:pPr>
    </w:lvl>
    <w:lvl w:ilvl="7" w:tplc="0C090019" w:tentative="1">
      <w:start w:val="1"/>
      <w:numFmt w:val="lowerLetter"/>
      <w:lvlText w:val="%8."/>
      <w:lvlJc w:val="left"/>
      <w:pPr>
        <w:ind w:left="7548" w:hanging="360"/>
      </w:pPr>
    </w:lvl>
    <w:lvl w:ilvl="8" w:tplc="0C09001B" w:tentative="1">
      <w:start w:val="1"/>
      <w:numFmt w:val="lowerRoman"/>
      <w:lvlText w:val="%9."/>
      <w:lvlJc w:val="right"/>
      <w:pPr>
        <w:ind w:left="8268" w:hanging="180"/>
      </w:pPr>
    </w:lvl>
  </w:abstractNum>
  <w:abstractNum w:abstractNumId="6">
    <w:nsid w:val="721429DC"/>
    <w:multiLevelType w:val="hybridMultilevel"/>
    <w:tmpl w:val="F53C7F4E"/>
    <w:lvl w:ilvl="0" w:tplc="855C91A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75977838"/>
    <w:multiLevelType w:val="hybridMultilevel"/>
    <w:tmpl w:val="8C44B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FB"/>
    <w:rsid w:val="0000019B"/>
    <w:rsid w:val="000003B0"/>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202C"/>
    <w:rsid w:val="000A60AF"/>
    <w:rsid w:val="000A68BE"/>
    <w:rsid w:val="000A6A45"/>
    <w:rsid w:val="000B4BD3"/>
    <w:rsid w:val="000B5115"/>
    <w:rsid w:val="000B5B10"/>
    <w:rsid w:val="000B7DE2"/>
    <w:rsid w:val="000C0356"/>
    <w:rsid w:val="000C365D"/>
    <w:rsid w:val="000C3B16"/>
    <w:rsid w:val="000C3C85"/>
    <w:rsid w:val="000C443A"/>
    <w:rsid w:val="000C68B7"/>
    <w:rsid w:val="000C6BA9"/>
    <w:rsid w:val="000D1452"/>
    <w:rsid w:val="000D2137"/>
    <w:rsid w:val="000D23B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3396"/>
    <w:rsid w:val="0012585A"/>
    <w:rsid w:val="00125C2C"/>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42F9"/>
    <w:rsid w:val="001F5E47"/>
    <w:rsid w:val="00200D0A"/>
    <w:rsid w:val="00205EEE"/>
    <w:rsid w:val="0020694B"/>
    <w:rsid w:val="002127BA"/>
    <w:rsid w:val="0021319B"/>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71502"/>
    <w:rsid w:val="002731DA"/>
    <w:rsid w:val="00274D6A"/>
    <w:rsid w:val="002802D0"/>
    <w:rsid w:val="00281A52"/>
    <w:rsid w:val="00281A81"/>
    <w:rsid w:val="002825BA"/>
    <w:rsid w:val="00283B19"/>
    <w:rsid w:val="00284090"/>
    <w:rsid w:val="00285495"/>
    <w:rsid w:val="002920A1"/>
    <w:rsid w:val="002921A2"/>
    <w:rsid w:val="00296A16"/>
    <w:rsid w:val="00296E3C"/>
    <w:rsid w:val="002A0320"/>
    <w:rsid w:val="002A0529"/>
    <w:rsid w:val="002A155C"/>
    <w:rsid w:val="002A163F"/>
    <w:rsid w:val="002A2C36"/>
    <w:rsid w:val="002A2D51"/>
    <w:rsid w:val="002A4505"/>
    <w:rsid w:val="002A54A2"/>
    <w:rsid w:val="002B1E03"/>
    <w:rsid w:val="002B2DF7"/>
    <w:rsid w:val="002B4080"/>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16"/>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2C64"/>
    <w:rsid w:val="00447465"/>
    <w:rsid w:val="004478DA"/>
    <w:rsid w:val="00450F22"/>
    <w:rsid w:val="004517BD"/>
    <w:rsid w:val="004538FA"/>
    <w:rsid w:val="00454155"/>
    <w:rsid w:val="0045558E"/>
    <w:rsid w:val="00455F64"/>
    <w:rsid w:val="00457C1B"/>
    <w:rsid w:val="00457EA3"/>
    <w:rsid w:val="00460C14"/>
    <w:rsid w:val="00461A05"/>
    <w:rsid w:val="00461DA0"/>
    <w:rsid w:val="00462144"/>
    <w:rsid w:val="00462C5D"/>
    <w:rsid w:val="00466C9F"/>
    <w:rsid w:val="004670F9"/>
    <w:rsid w:val="004671A4"/>
    <w:rsid w:val="00467AD6"/>
    <w:rsid w:val="00475D96"/>
    <w:rsid w:val="004813C4"/>
    <w:rsid w:val="004833E0"/>
    <w:rsid w:val="0048451E"/>
    <w:rsid w:val="00492EC0"/>
    <w:rsid w:val="004962BA"/>
    <w:rsid w:val="00496A11"/>
    <w:rsid w:val="0049735F"/>
    <w:rsid w:val="00497B74"/>
    <w:rsid w:val="004A7318"/>
    <w:rsid w:val="004B3081"/>
    <w:rsid w:val="004B375E"/>
    <w:rsid w:val="004B60DD"/>
    <w:rsid w:val="004B703C"/>
    <w:rsid w:val="004C0AF8"/>
    <w:rsid w:val="004C1E7C"/>
    <w:rsid w:val="004C224D"/>
    <w:rsid w:val="004C2E9B"/>
    <w:rsid w:val="004C378D"/>
    <w:rsid w:val="004C63C4"/>
    <w:rsid w:val="004C7EC6"/>
    <w:rsid w:val="004D1010"/>
    <w:rsid w:val="004D3F5D"/>
    <w:rsid w:val="004D4015"/>
    <w:rsid w:val="004D4F51"/>
    <w:rsid w:val="004D582F"/>
    <w:rsid w:val="004D62F3"/>
    <w:rsid w:val="004D6A3B"/>
    <w:rsid w:val="004D6C60"/>
    <w:rsid w:val="004E2745"/>
    <w:rsid w:val="004E5BBD"/>
    <w:rsid w:val="005005F7"/>
    <w:rsid w:val="005037DD"/>
    <w:rsid w:val="005045AC"/>
    <w:rsid w:val="00507039"/>
    <w:rsid w:val="00507E1A"/>
    <w:rsid w:val="00514CB3"/>
    <w:rsid w:val="00523B23"/>
    <w:rsid w:val="0052672A"/>
    <w:rsid w:val="00530FD0"/>
    <w:rsid w:val="00531819"/>
    <w:rsid w:val="00533C0C"/>
    <w:rsid w:val="0053520F"/>
    <w:rsid w:val="005363C1"/>
    <w:rsid w:val="00537DE7"/>
    <w:rsid w:val="0054057C"/>
    <w:rsid w:val="005419E2"/>
    <w:rsid w:val="00550201"/>
    <w:rsid w:val="00554432"/>
    <w:rsid w:val="0055468A"/>
    <w:rsid w:val="00563015"/>
    <w:rsid w:val="00565E60"/>
    <w:rsid w:val="00566C61"/>
    <w:rsid w:val="0056726F"/>
    <w:rsid w:val="005675A9"/>
    <w:rsid w:val="00571939"/>
    <w:rsid w:val="0058388F"/>
    <w:rsid w:val="00583A8D"/>
    <w:rsid w:val="00587C5B"/>
    <w:rsid w:val="00594391"/>
    <w:rsid w:val="005952D3"/>
    <w:rsid w:val="005A0786"/>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0598E"/>
    <w:rsid w:val="00610FEE"/>
    <w:rsid w:val="0061208F"/>
    <w:rsid w:val="00613A57"/>
    <w:rsid w:val="0062111E"/>
    <w:rsid w:val="00621C0B"/>
    <w:rsid w:val="00622084"/>
    <w:rsid w:val="006276D6"/>
    <w:rsid w:val="00632ADC"/>
    <w:rsid w:val="00636AAF"/>
    <w:rsid w:val="00640A1B"/>
    <w:rsid w:val="0064193E"/>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95C53"/>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03A5"/>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2F10"/>
    <w:rsid w:val="008530DD"/>
    <w:rsid w:val="008544A3"/>
    <w:rsid w:val="00855B35"/>
    <w:rsid w:val="00855EC9"/>
    <w:rsid w:val="00864F60"/>
    <w:rsid w:val="008665DA"/>
    <w:rsid w:val="008701DC"/>
    <w:rsid w:val="00870393"/>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0E6A"/>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87C8F"/>
    <w:rsid w:val="009917EF"/>
    <w:rsid w:val="00992FF2"/>
    <w:rsid w:val="00993DC9"/>
    <w:rsid w:val="00995114"/>
    <w:rsid w:val="00997D3E"/>
    <w:rsid w:val="009A3E44"/>
    <w:rsid w:val="009A6689"/>
    <w:rsid w:val="009B47EF"/>
    <w:rsid w:val="009B6BE5"/>
    <w:rsid w:val="009B774E"/>
    <w:rsid w:val="009C2258"/>
    <w:rsid w:val="009C3FDA"/>
    <w:rsid w:val="009D092B"/>
    <w:rsid w:val="009D502F"/>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2215"/>
    <w:rsid w:val="00AD471F"/>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3675"/>
    <w:rsid w:val="00C657EC"/>
    <w:rsid w:val="00C71120"/>
    <w:rsid w:val="00C77193"/>
    <w:rsid w:val="00C8165E"/>
    <w:rsid w:val="00C81698"/>
    <w:rsid w:val="00C856DC"/>
    <w:rsid w:val="00C863AE"/>
    <w:rsid w:val="00C94E27"/>
    <w:rsid w:val="00CA1AFB"/>
    <w:rsid w:val="00CA3182"/>
    <w:rsid w:val="00CA51D3"/>
    <w:rsid w:val="00CB065C"/>
    <w:rsid w:val="00CB3EF4"/>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098"/>
    <w:rsid w:val="00D2637B"/>
    <w:rsid w:val="00D27BA4"/>
    <w:rsid w:val="00D27F8A"/>
    <w:rsid w:val="00D313D1"/>
    <w:rsid w:val="00D35574"/>
    <w:rsid w:val="00D36516"/>
    <w:rsid w:val="00D52766"/>
    <w:rsid w:val="00D528E2"/>
    <w:rsid w:val="00D61638"/>
    <w:rsid w:val="00D639F6"/>
    <w:rsid w:val="00D65E66"/>
    <w:rsid w:val="00D70C85"/>
    <w:rsid w:val="00D70F52"/>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809"/>
    <w:rsid w:val="00DD3F77"/>
    <w:rsid w:val="00DE1D92"/>
    <w:rsid w:val="00DF105C"/>
    <w:rsid w:val="00DF3255"/>
    <w:rsid w:val="00DF4625"/>
    <w:rsid w:val="00DF7C05"/>
    <w:rsid w:val="00DF7DBA"/>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3EFB"/>
    <w:rsid w:val="00E743BE"/>
    <w:rsid w:val="00E770D2"/>
    <w:rsid w:val="00E80FD6"/>
    <w:rsid w:val="00E83ACC"/>
    <w:rsid w:val="00E84430"/>
    <w:rsid w:val="00E87BF1"/>
    <w:rsid w:val="00E934F4"/>
    <w:rsid w:val="00E938D3"/>
    <w:rsid w:val="00E94C4E"/>
    <w:rsid w:val="00E975CF"/>
    <w:rsid w:val="00E97D26"/>
    <w:rsid w:val="00EA1F73"/>
    <w:rsid w:val="00EB0939"/>
    <w:rsid w:val="00EB3AE4"/>
    <w:rsid w:val="00EB5052"/>
    <w:rsid w:val="00EB76F2"/>
    <w:rsid w:val="00EB7BEE"/>
    <w:rsid w:val="00EC0CE5"/>
    <w:rsid w:val="00EC14D0"/>
    <w:rsid w:val="00EC27C5"/>
    <w:rsid w:val="00EC6ED6"/>
    <w:rsid w:val="00ED32AD"/>
    <w:rsid w:val="00EE63A6"/>
    <w:rsid w:val="00EF20EE"/>
    <w:rsid w:val="00EF739F"/>
    <w:rsid w:val="00F01B11"/>
    <w:rsid w:val="00F035A5"/>
    <w:rsid w:val="00F0604F"/>
    <w:rsid w:val="00F13A57"/>
    <w:rsid w:val="00F21C78"/>
    <w:rsid w:val="00F2268C"/>
    <w:rsid w:val="00F24CE8"/>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094"/>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4FB7"/>
    <w:rsid w:val="00FA5C06"/>
    <w:rsid w:val="00FB13CD"/>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ListParagraph">
    <w:name w:val="List Paragraph"/>
    <w:basedOn w:val="Normal"/>
    <w:uiPriority w:val="34"/>
    <w:qFormat/>
    <w:rsid w:val="00E73EFB"/>
    <w:pPr>
      <w:ind w:left="720"/>
      <w:contextualSpacing/>
    </w:pPr>
  </w:style>
  <w:style w:type="paragraph" w:styleId="FootnoteText">
    <w:name w:val="footnote text"/>
    <w:basedOn w:val="Normal"/>
    <w:link w:val="FootnoteTextChar"/>
    <w:rsid w:val="00296E3C"/>
    <w:rPr>
      <w:sz w:val="20"/>
      <w:szCs w:val="20"/>
    </w:rPr>
  </w:style>
  <w:style w:type="character" w:customStyle="1" w:styleId="FootnoteTextChar">
    <w:name w:val="Footnote Text Char"/>
    <w:basedOn w:val="DefaultParagraphFont"/>
    <w:link w:val="FootnoteText"/>
    <w:rsid w:val="00296E3C"/>
  </w:style>
  <w:style w:type="character" w:styleId="FootnoteReference">
    <w:name w:val="footnote reference"/>
    <w:basedOn w:val="DefaultParagraphFont"/>
    <w:rsid w:val="00296E3C"/>
    <w:rPr>
      <w:vertAlign w:val="superscript"/>
    </w:rPr>
  </w:style>
  <w:style w:type="character" w:styleId="CommentReference">
    <w:name w:val="annotation reference"/>
    <w:basedOn w:val="DefaultParagraphFont"/>
    <w:rsid w:val="00F24CE8"/>
    <w:rPr>
      <w:sz w:val="16"/>
      <w:szCs w:val="16"/>
    </w:rPr>
  </w:style>
  <w:style w:type="paragraph" w:styleId="CommentText">
    <w:name w:val="annotation text"/>
    <w:basedOn w:val="Normal"/>
    <w:link w:val="CommentTextChar"/>
    <w:rsid w:val="00F24CE8"/>
    <w:rPr>
      <w:sz w:val="20"/>
      <w:szCs w:val="20"/>
    </w:rPr>
  </w:style>
  <w:style w:type="character" w:customStyle="1" w:styleId="CommentTextChar">
    <w:name w:val="Comment Text Char"/>
    <w:basedOn w:val="DefaultParagraphFont"/>
    <w:link w:val="CommentText"/>
    <w:rsid w:val="00F24CE8"/>
  </w:style>
  <w:style w:type="paragraph" w:styleId="CommentSubject">
    <w:name w:val="annotation subject"/>
    <w:basedOn w:val="CommentText"/>
    <w:next w:val="CommentText"/>
    <w:link w:val="CommentSubjectChar"/>
    <w:rsid w:val="00F24CE8"/>
    <w:rPr>
      <w:b/>
      <w:bCs/>
    </w:rPr>
  </w:style>
  <w:style w:type="character" w:customStyle="1" w:styleId="CommentSubjectChar">
    <w:name w:val="Comment Subject Char"/>
    <w:basedOn w:val="CommentTextChar"/>
    <w:link w:val="CommentSubject"/>
    <w:rsid w:val="00F24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ListParagraph">
    <w:name w:val="List Paragraph"/>
    <w:basedOn w:val="Normal"/>
    <w:uiPriority w:val="34"/>
    <w:qFormat/>
    <w:rsid w:val="00E73EFB"/>
    <w:pPr>
      <w:ind w:left="720"/>
      <w:contextualSpacing/>
    </w:pPr>
  </w:style>
  <w:style w:type="paragraph" w:styleId="FootnoteText">
    <w:name w:val="footnote text"/>
    <w:basedOn w:val="Normal"/>
    <w:link w:val="FootnoteTextChar"/>
    <w:rsid w:val="00296E3C"/>
    <w:rPr>
      <w:sz w:val="20"/>
      <w:szCs w:val="20"/>
    </w:rPr>
  </w:style>
  <w:style w:type="character" w:customStyle="1" w:styleId="FootnoteTextChar">
    <w:name w:val="Footnote Text Char"/>
    <w:basedOn w:val="DefaultParagraphFont"/>
    <w:link w:val="FootnoteText"/>
    <w:rsid w:val="00296E3C"/>
  </w:style>
  <w:style w:type="character" w:styleId="FootnoteReference">
    <w:name w:val="footnote reference"/>
    <w:basedOn w:val="DefaultParagraphFont"/>
    <w:rsid w:val="00296E3C"/>
    <w:rPr>
      <w:vertAlign w:val="superscript"/>
    </w:rPr>
  </w:style>
  <w:style w:type="character" w:styleId="CommentReference">
    <w:name w:val="annotation reference"/>
    <w:basedOn w:val="DefaultParagraphFont"/>
    <w:rsid w:val="00F24CE8"/>
    <w:rPr>
      <w:sz w:val="16"/>
      <w:szCs w:val="16"/>
    </w:rPr>
  </w:style>
  <w:style w:type="paragraph" w:styleId="CommentText">
    <w:name w:val="annotation text"/>
    <w:basedOn w:val="Normal"/>
    <w:link w:val="CommentTextChar"/>
    <w:rsid w:val="00F24CE8"/>
    <w:rPr>
      <w:sz w:val="20"/>
      <w:szCs w:val="20"/>
    </w:rPr>
  </w:style>
  <w:style w:type="character" w:customStyle="1" w:styleId="CommentTextChar">
    <w:name w:val="Comment Text Char"/>
    <w:basedOn w:val="DefaultParagraphFont"/>
    <w:link w:val="CommentText"/>
    <w:rsid w:val="00F24CE8"/>
  </w:style>
  <w:style w:type="paragraph" w:styleId="CommentSubject">
    <w:name w:val="annotation subject"/>
    <w:basedOn w:val="CommentText"/>
    <w:next w:val="CommentText"/>
    <w:link w:val="CommentSubjectChar"/>
    <w:rsid w:val="00F24CE8"/>
    <w:rPr>
      <w:b/>
      <w:bCs/>
    </w:rPr>
  </w:style>
  <w:style w:type="character" w:customStyle="1" w:styleId="CommentSubjectChar">
    <w:name w:val="Comment Subject Char"/>
    <w:basedOn w:val="CommentTextChar"/>
    <w:link w:val="CommentSubject"/>
    <w:rsid w:val="00F24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1EB2-A358-424B-A537-8BAD1415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49965F4B</Template>
  <TotalTime>1</TotalTime>
  <Pages>6</Pages>
  <Words>1759</Words>
  <Characters>9340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2</cp:revision>
  <cp:lastPrinted>2013-04-29T05:49:00Z</cp:lastPrinted>
  <dcterms:created xsi:type="dcterms:W3CDTF">2013-04-29T23:32:00Z</dcterms:created>
  <dcterms:modified xsi:type="dcterms:W3CDTF">2013-04-29T23:32:00Z</dcterms:modified>
</cp:coreProperties>
</file>