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D62" w:rsidRDefault="00EF05C7" w:rsidP="00F329EC">
      <w:pPr>
        <w:spacing w:after="0" w:line="240" w:lineRule="auto"/>
        <w:ind w:right="-1"/>
        <w:jc w:val="center"/>
        <w:rPr>
          <w:rFonts w:ascii="Arial" w:hAnsi="Arial" w:cs="Arial"/>
          <w:b/>
          <w:sz w:val="28"/>
          <w:szCs w:val="28"/>
        </w:rPr>
      </w:pPr>
      <w:r>
        <w:rPr>
          <w:rFonts w:ascii="Arial" w:hAnsi="Arial" w:cs="Arial"/>
          <w:b/>
          <w:sz w:val="28"/>
          <w:szCs w:val="28"/>
        </w:rPr>
        <w:t xml:space="preserve">The value of advocacy – </w:t>
      </w:r>
    </w:p>
    <w:p w:rsidR="00EF05C7" w:rsidRDefault="00821F84" w:rsidP="00F329EC">
      <w:pPr>
        <w:spacing w:after="0" w:line="240" w:lineRule="auto"/>
        <w:ind w:right="-1"/>
        <w:jc w:val="center"/>
        <w:rPr>
          <w:rFonts w:ascii="Arial" w:hAnsi="Arial" w:cs="Arial"/>
          <w:b/>
          <w:sz w:val="28"/>
          <w:szCs w:val="28"/>
        </w:rPr>
      </w:pPr>
      <w:r>
        <w:rPr>
          <w:rFonts w:ascii="Arial" w:hAnsi="Arial" w:cs="Arial"/>
          <w:b/>
          <w:sz w:val="28"/>
          <w:szCs w:val="28"/>
        </w:rPr>
        <w:t>B</w:t>
      </w:r>
      <w:r w:rsidR="00BE30F9">
        <w:rPr>
          <w:rFonts w:ascii="Arial" w:hAnsi="Arial" w:cs="Arial"/>
          <w:b/>
          <w:sz w:val="28"/>
          <w:szCs w:val="28"/>
        </w:rPr>
        <w:t>uilding a bridge between theory and practice</w:t>
      </w:r>
    </w:p>
    <w:p w:rsidR="00F329EC" w:rsidRDefault="00F329EC" w:rsidP="00F329EC">
      <w:pPr>
        <w:spacing w:after="0" w:line="240" w:lineRule="auto"/>
        <w:ind w:right="-1"/>
        <w:jc w:val="center"/>
        <w:rPr>
          <w:rFonts w:ascii="Arial" w:hAnsi="Arial" w:cs="Arial"/>
          <w:b/>
          <w:sz w:val="28"/>
          <w:szCs w:val="28"/>
        </w:rPr>
      </w:pPr>
      <w:r>
        <w:rPr>
          <w:rFonts w:ascii="Arial" w:hAnsi="Arial" w:cs="Arial"/>
          <w:b/>
          <w:sz w:val="28"/>
          <w:szCs w:val="28"/>
        </w:rPr>
        <w:t>DANA Conference</w:t>
      </w:r>
    </w:p>
    <w:p w:rsidR="00F329EC" w:rsidRDefault="00F329EC" w:rsidP="00F329EC">
      <w:pPr>
        <w:spacing w:after="0" w:line="240" w:lineRule="auto"/>
        <w:ind w:right="-1"/>
        <w:jc w:val="center"/>
        <w:rPr>
          <w:rFonts w:ascii="Arial" w:hAnsi="Arial" w:cs="Arial"/>
          <w:b/>
          <w:sz w:val="28"/>
          <w:szCs w:val="28"/>
        </w:rPr>
      </w:pPr>
      <w:r>
        <w:rPr>
          <w:rFonts w:ascii="Arial" w:hAnsi="Arial" w:cs="Arial"/>
          <w:b/>
          <w:sz w:val="28"/>
          <w:szCs w:val="28"/>
        </w:rPr>
        <w:t>Brisbane Convention Centre</w:t>
      </w:r>
    </w:p>
    <w:p w:rsidR="00EF05C7" w:rsidRPr="00F329EC" w:rsidRDefault="00EF05C7" w:rsidP="00F329EC">
      <w:pPr>
        <w:spacing w:after="0" w:line="240" w:lineRule="auto"/>
        <w:ind w:right="-1"/>
        <w:jc w:val="center"/>
        <w:rPr>
          <w:rFonts w:ascii="Arial" w:hAnsi="Arial" w:cs="Arial"/>
          <w:b/>
          <w:sz w:val="28"/>
          <w:szCs w:val="28"/>
        </w:rPr>
      </w:pPr>
      <w:r w:rsidRPr="00F329EC">
        <w:rPr>
          <w:rFonts w:ascii="Arial" w:hAnsi="Arial" w:cs="Arial"/>
          <w:b/>
          <w:sz w:val="28"/>
          <w:szCs w:val="28"/>
        </w:rPr>
        <w:t>Kevin Cocks, Anti-Discrimination Commissioner, Queensland</w:t>
      </w:r>
    </w:p>
    <w:p w:rsidR="00EF05C7" w:rsidRPr="00F329EC" w:rsidRDefault="00EF05C7" w:rsidP="00F329EC">
      <w:pPr>
        <w:pBdr>
          <w:bottom w:val="single" w:sz="12" w:space="1" w:color="auto"/>
        </w:pBdr>
        <w:spacing w:after="0" w:line="240" w:lineRule="auto"/>
        <w:ind w:right="-1"/>
        <w:jc w:val="center"/>
        <w:rPr>
          <w:rFonts w:ascii="Arial" w:hAnsi="Arial" w:cs="Arial"/>
          <w:b/>
          <w:sz w:val="28"/>
          <w:szCs w:val="28"/>
        </w:rPr>
      </w:pPr>
      <w:r w:rsidRPr="00F329EC">
        <w:rPr>
          <w:rFonts w:ascii="Arial" w:hAnsi="Arial" w:cs="Arial"/>
          <w:b/>
          <w:sz w:val="28"/>
          <w:szCs w:val="28"/>
        </w:rPr>
        <w:t xml:space="preserve">Friday, 1 November, 2013. </w:t>
      </w:r>
    </w:p>
    <w:p w:rsidR="00AB095C" w:rsidRPr="00F329EC" w:rsidRDefault="00AB095C" w:rsidP="00F329EC">
      <w:pPr>
        <w:pStyle w:val="Heading1"/>
        <w:spacing w:before="240" w:after="240"/>
      </w:pPr>
      <w:r w:rsidRPr="00F329EC">
        <w:t>Introduction</w:t>
      </w:r>
    </w:p>
    <w:p w:rsidR="00AB095C" w:rsidRPr="00AB095C" w:rsidRDefault="00AB095C" w:rsidP="00F329EC">
      <w:pPr>
        <w:spacing w:after="240" w:line="240" w:lineRule="auto"/>
        <w:ind w:right="-1"/>
        <w:rPr>
          <w:rFonts w:ascii="Arial" w:hAnsi="Arial" w:cs="Arial"/>
          <w:b/>
          <w:sz w:val="28"/>
          <w:szCs w:val="28"/>
        </w:rPr>
      </w:pPr>
      <w:r w:rsidRPr="00AB095C">
        <w:rPr>
          <w:rFonts w:ascii="Arial" w:hAnsi="Arial" w:cs="Arial"/>
          <w:sz w:val="28"/>
          <w:szCs w:val="28"/>
        </w:rPr>
        <w:t xml:space="preserve">May I pay my respects to the traditional owners, of the land on which we meet today the </w:t>
      </w:r>
      <w:r w:rsidRPr="00AB095C">
        <w:rPr>
          <w:rFonts w:ascii="Arial" w:hAnsi="Arial" w:cs="Arial"/>
          <w:i/>
          <w:iCs/>
          <w:color w:val="000000"/>
          <w:sz w:val="28"/>
          <w:szCs w:val="28"/>
          <w:lang w:val="en-US"/>
        </w:rPr>
        <w:t>Jagara tribal nation, south of the Brisbane River and the Turrbal tribal nation, north of the Brisbane River</w:t>
      </w:r>
      <w:r>
        <w:rPr>
          <w:rFonts w:ascii="Arial" w:hAnsi="Arial" w:cs="Arial"/>
          <w:i/>
          <w:iCs/>
          <w:color w:val="000000"/>
          <w:sz w:val="28"/>
          <w:szCs w:val="28"/>
          <w:lang w:val="en-US"/>
        </w:rPr>
        <w:t>,</w:t>
      </w:r>
      <w:r>
        <w:rPr>
          <w:rFonts w:ascii="Arial" w:hAnsi="Arial" w:cs="Arial"/>
          <w:sz w:val="28"/>
          <w:szCs w:val="28"/>
        </w:rPr>
        <w:t xml:space="preserve"> I would also like to acknowledge Elders</w:t>
      </w:r>
      <w:r>
        <w:rPr>
          <w:rFonts w:ascii="Arial" w:hAnsi="Arial" w:cs="Arial"/>
          <w:color w:val="333333"/>
          <w:sz w:val="28"/>
          <w:szCs w:val="28"/>
          <w:lang w:val="en-US"/>
        </w:rPr>
        <w:t>,</w:t>
      </w:r>
      <w:r w:rsidRPr="00AB095C">
        <w:rPr>
          <w:rFonts w:ascii="Arial" w:hAnsi="Arial" w:cs="Arial"/>
          <w:color w:val="333333"/>
          <w:sz w:val="28"/>
          <w:szCs w:val="28"/>
          <w:lang w:val="en-US"/>
        </w:rPr>
        <w:t xml:space="preserve"> past, present and future</w:t>
      </w:r>
      <w:r w:rsidRPr="00AB095C">
        <w:rPr>
          <w:rFonts w:ascii="Arial" w:hAnsi="Arial" w:cs="Arial"/>
          <w:sz w:val="28"/>
          <w:szCs w:val="28"/>
        </w:rPr>
        <w:t>.</w:t>
      </w:r>
    </w:p>
    <w:p w:rsidR="007F1B91" w:rsidRDefault="00A04C31" w:rsidP="00F329EC">
      <w:pPr>
        <w:spacing w:after="240" w:line="240" w:lineRule="auto"/>
        <w:ind w:right="-1"/>
        <w:rPr>
          <w:rFonts w:ascii="Arial" w:hAnsi="Arial" w:cs="Arial"/>
          <w:sz w:val="28"/>
          <w:szCs w:val="28"/>
        </w:rPr>
      </w:pPr>
      <w:r>
        <w:rPr>
          <w:rFonts w:ascii="Arial" w:hAnsi="Arial" w:cs="Arial"/>
          <w:sz w:val="28"/>
          <w:szCs w:val="28"/>
        </w:rPr>
        <w:t>Thank you to the organisers of today’s event for inviting me to contribute. It’s</w:t>
      </w:r>
      <w:r w:rsidR="0025358E">
        <w:rPr>
          <w:rFonts w:ascii="Arial" w:hAnsi="Arial" w:cs="Arial"/>
          <w:sz w:val="28"/>
          <w:szCs w:val="28"/>
        </w:rPr>
        <w:t xml:space="preserve"> fantastic to be </w:t>
      </w:r>
      <w:r w:rsidR="00F911BD">
        <w:rPr>
          <w:rFonts w:ascii="Arial" w:hAnsi="Arial" w:cs="Arial"/>
          <w:sz w:val="28"/>
          <w:szCs w:val="28"/>
        </w:rPr>
        <w:t>here at the fifth DANA conference. DANA has certainly come a long way since moves were made in 2007 to create and build a national voice to support the development of independent advocacy in Australia. I congratulate the board, the staff and members of DANA of the progress you have made to date an</w:t>
      </w:r>
      <w:r w:rsidR="002A48B2">
        <w:rPr>
          <w:rFonts w:ascii="Arial" w:hAnsi="Arial" w:cs="Arial"/>
          <w:sz w:val="28"/>
          <w:szCs w:val="28"/>
        </w:rPr>
        <w:t>d I look forward to witnessing a</w:t>
      </w:r>
      <w:r w:rsidR="00F911BD">
        <w:rPr>
          <w:rFonts w:ascii="Arial" w:hAnsi="Arial" w:cs="Arial"/>
          <w:sz w:val="28"/>
          <w:szCs w:val="28"/>
        </w:rPr>
        <w:t>n</w:t>
      </w:r>
      <w:r w:rsidR="002A48B2">
        <w:rPr>
          <w:rFonts w:ascii="Arial" w:hAnsi="Arial" w:cs="Arial"/>
          <w:sz w:val="28"/>
          <w:szCs w:val="28"/>
        </w:rPr>
        <w:t>d</w:t>
      </w:r>
      <w:r w:rsidR="00F911BD">
        <w:rPr>
          <w:rFonts w:ascii="Arial" w:hAnsi="Arial" w:cs="Arial"/>
          <w:sz w:val="28"/>
          <w:szCs w:val="28"/>
        </w:rPr>
        <w:t xml:space="preserve"> hearing about your future progress. It is also fantastic to be a</w:t>
      </w:r>
      <w:r w:rsidR="0025358E">
        <w:rPr>
          <w:rFonts w:ascii="Arial" w:hAnsi="Arial" w:cs="Arial"/>
          <w:sz w:val="28"/>
          <w:szCs w:val="28"/>
        </w:rPr>
        <w:t>mongst those</w:t>
      </w:r>
      <w:r>
        <w:rPr>
          <w:rFonts w:ascii="Arial" w:hAnsi="Arial" w:cs="Arial"/>
          <w:sz w:val="28"/>
          <w:szCs w:val="28"/>
        </w:rPr>
        <w:t xml:space="preserve"> who advocate in myriad w</w:t>
      </w:r>
      <w:r w:rsidR="002E7BBC">
        <w:rPr>
          <w:rFonts w:ascii="Arial" w:hAnsi="Arial" w:cs="Arial"/>
          <w:sz w:val="28"/>
          <w:szCs w:val="28"/>
        </w:rPr>
        <w:t>ays for</w:t>
      </w:r>
      <w:r w:rsidR="00F911BD">
        <w:rPr>
          <w:rFonts w:ascii="Arial" w:hAnsi="Arial" w:cs="Arial"/>
          <w:sz w:val="28"/>
          <w:szCs w:val="28"/>
        </w:rPr>
        <w:t xml:space="preserve"> vulnerable Australians with disability to live their lives with dignity,</w:t>
      </w:r>
      <w:r w:rsidR="002E7BBC">
        <w:rPr>
          <w:rFonts w:ascii="Arial" w:hAnsi="Arial" w:cs="Arial"/>
          <w:sz w:val="28"/>
          <w:szCs w:val="28"/>
        </w:rPr>
        <w:t xml:space="preserve"> </w:t>
      </w:r>
      <w:r w:rsidR="008A095E">
        <w:rPr>
          <w:rFonts w:ascii="Arial" w:hAnsi="Arial" w:cs="Arial"/>
          <w:sz w:val="28"/>
          <w:szCs w:val="28"/>
        </w:rPr>
        <w:t xml:space="preserve">justice, equality, </w:t>
      </w:r>
      <w:r w:rsidR="00F911BD">
        <w:rPr>
          <w:rFonts w:ascii="Arial" w:hAnsi="Arial" w:cs="Arial"/>
          <w:sz w:val="28"/>
          <w:szCs w:val="28"/>
        </w:rPr>
        <w:t xml:space="preserve">and </w:t>
      </w:r>
      <w:r w:rsidR="008A095E">
        <w:rPr>
          <w:rFonts w:ascii="Arial" w:hAnsi="Arial" w:cs="Arial"/>
          <w:sz w:val="28"/>
          <w:szCs w:val="28"/>
        </w:rPr>
        <w:t>freedom from discrimination</w:t>
      </w:r>
      <w:r w:rsidR="00F911BD">
        <w:rPr>
          <w:rFonts w:ascii="Arial" w:hAnsi="Arial" w:cs="Arial"/>
          <w:sz w:val="28"/>
          <w:szCs w:val="28"/>
        </w:rPr>
        <w:t>.</w:t>
      </w:r>
      <w:r>
        <w:rPr>
          <w:rFonts w:ascii="Arial" w:hAnsi="Arial" w:cs="Arial"/>
          <w:sz w:val="28"/>
          <w:szCs w:val="28"/>
        </w:rPr>
        <w:t xml:space="preserve"> </w:t>
      </w:r>
    </w:p>
    <w:p w:rsidR="00AB6BE1" w:rsidRDefault="00AB6BE1" w:rsidP="00F329EC">
      <w:pPr>
        <w:spacing w:after="240" w:line="240" w:lineRule="auto"/>
        <w:ind w:right="-1"/>
        <w:rPr>
          <w:rFonts w:ascii="Arial" w:hAnsi="Arial" w:cs="Arial"/>
          <w:sz w:val="28"/>
          <w:szCs w:val="28"/>
        </w:rPr>
      </w:pPr>
      <w:r>
        <w:rPr>
          <w:rFonts w:ascii="Arial" w:hAnsi="Arial" w:cs="Arial"/>
          <w:sz w:val="28"/>
          <w:szCs w:val="28"/>
        </w:rPr>
        <w:t xml:space="preserve">The value of this work should not </w:t>
      </w:r>
      <w:r w:rsidR="00B973D3">
        <w:rPr>
          <w:rFonts w:ascii="Arial" w:hAnsi="Arial" w:cs="Arial"/>
          <w:sz w:val="28"/>
          <w:szCs w:val="28"/>
        </w:rPr>
        <w:t>be underestimated – servi</w:t>
      </w:r>
      <w:r>
        <w:rPr>
          <w:rFonts w:ascii="Arial" w:hAnsi="Arial" w:cs="Arial"/>
          <w:sz w:val="28"/>
          <w:szCs w:val="28"/>
        </w:rPr>
        <w:t>ng,</w:t>
      </w:r>
      <w:r w:rsidR="00E3069F">
        <w:rPr>
          <w:rFonts w:ascii="Arial" w:hAnsi="Arial" w:cs="Arial"/>
          <w:sz w:val="28"/>
          <w:szCs w:val="28"/>
        </w:rPr>
        <w:t xml:space="preserve"> as it </w:t>
      </w:r>
      <w:r>
        <w:rPr>
          <w:rFonts w:ascii="Arial" w:hAnsi="Arial" w:cs="Arial"/>
          <w:sz w:val="28"/>
          <w:szCs w:val="28"/>
        </w:rPr>
        <w:t xml:space="preserve">often does, as a bridge between individuals and the </w:t>
      </w:r>
      <w:r w:rsidR="00410B2C">
        <w:rPr>
          <w:rFonts w:ascii="Arial" w:hAnsi="Arial" w:cs="Arial"/>
          <w:sz w:val="28"/>
          <w:szCs w:val="28"/>
        </w:rPr>
        <w:t xml:space="preserve">fundamental </w:t>
      </w:r>
      <w:r>
        <w:rPr>
          <w:rFonts w:ascii="Arial" w:hAnsi="Arial" w:cs="Arial"/>
          <w:sz w:val="28"/>
          <w:szCs w:val="28"/>
        </w:rPr>
        <w:t xml:space="preserve">support to which they are entitled. Sometimes, however, those conducting this work can feel as if they are </w:t>
      </w:r>
      <w:r w:rsidR="0081546F">
        <w:rPr>
          <w:rFonts w:ascii="Arial" w:hAnsi="Arial" w:cs="Arial"/>
          <w:sz w:val="28"/>
          <w:szCs w:val="28"/>
        </w:rPr>
        <w:t>engaged in</w:t>
      </w:r>
      <w:r>
        <w:rPr>
          <w:rFonts w:ascii="Arial" w:hAnsi="Arial" w:cs="Arial"/>
          <w:sz w:val="28"/>
          <w:szCs w:val="28"/>
        </w:rPr>
        <w:t xml:space="preserve"> </w:t>
      </w:r>
      <w:r w:rsidR="006E046F">
        <w:rPr>
          <w:rFonts w:ascii="Arial" w:hAnsi="Arial" w:cs="Arial"/>
          <w:sz w:val="28"/>
          <w:szCs w:val="28"/>
        </w:rPr>
        <w:t>a titanic struggle</w:t>
      </w:r>
      <w:r>
        <w:rPr>
          <w:rFonts w:ascii="Arial" w:hAnsi="Arial" w:cs="Arial"/>
          <w:sz w:val="28"/>
          <w:szCs w:val="28"/>
        </w:rPr>
        <w:t>–</w:t>
      </w:r>
      <w:r w:rsidR="00410B2C">
        <w:rPr>
          <w:rFonts w:ascii="Arial" w:hAnsi="Arial" w:cs="Arial"/>
          <w:sz w:val="28"/>
          <w:szCs w:val="28"/>
        </w:rPr>
        <w:t xml:space="preserve"> small figures standing in the path of bureaucratic Goliaths</w:t>
      </w:r>
      <w:r w:rsidR="006E046F">
        <w:rPr>
          <w:rFonts w:ascii="Arial" w:hAnsi="Arial" w:cs="Arial"/>
          <w:sz w:val="28"/>
          <w:szCs w:val="28"/>
        </w:rPr>
        <w:t xml:space="preserve"> a bit like rubber</w:t>
      </w:r>
      <w:r w:rsidR="00643865">
        <w:rPr>
          <w:rFonts w:ascii="Arial" w:hAnsi="Arial" w:cs="Arial"/>
          <w:sz w:val="28"/>
          <w:szCs w:val="28"/>
        </w:rPr>
        <w:t xml:space="preserve"> boats </w:t>
      </w:r>
      <w:r w:rsidR="006E046F">
        <w:rPr>
          <w:rFonts w:ascii="Arial" w:hAnsi="Arial" w:cs="Arial"/>
          <w:sz w:val="28"/>
          <w:szCs w:val="28"/>
        </w:rPr>
        <w:t>trying to turn around an oil tanker</w:t>
      </w:r>
      <w:r w:rsidR="00410B2C">
        <w:rPr>
          <w:rFonts w:ascii="Arial" w:hAnsi="Arial" w:cs="Arial"/>
          <w:sz w:val="28"/>
          <w:szCs w:val="28"/>
        </w:rPr>
        <w:t xml:space="preserve">. </w:t>
      </w:r>
      <w:r w:rsidR="0081546F">
        <w:rPr>
          <w:rFonts w:ascii="Arial" w:hAnsi="Arial" w:cs="Arial"/>
          <w:sz w:val="28"/>
          <w:szCs w:val="28"/>
        </w:rPr>
        <w:t>In fact,</w:t>
      </w:r>
      <w:r w:rsidR="00B7514A">
        <w:rPr>
          <w:rFonts w:ascii="Arial" w:hAnsi="Arial" w:cs="Arial"/>
          <w:sz w:val="28"/>
          <w:szCs w:val="28"/>
        </w:rPr>
        <w:t xml:space="preserve"> the barrier</w:t>
      </w:r>
      <w:r w:rsidR="00410B2C">
        <w:rPr>
          <w:rFonts w:ascii="Arial" w:hAnsi="Arial" w:cs="Arial"/>
          <w:sz w:val="28"/>
          <w:szCs w:val="28"/>
        </w:rPr>
        <w:t xml:space="preserve">s </w:t>
      </w:r>
      <w:r w:rsidR="00A53262">
        <w:rPr>
          <w:rFonts w:ascii="Arial" w:hAnsi="Arial" w:cs="Arial"/>
          <w:sz w:val="28"/>
          <w:szCs w:val="28"/>
        </w:rPr>
        <w:t xml:space="preserve">vulnerable people with disability </w:t>
      </w:r>
      <w:r w:rsidR="00DC03A7">
        <w:rPr>
          <w:rFonts w:ascii="Arial" w:hAnsi="Arial" w:cs="Arial"/>
          <w:sz w:val="28"/>
          <w:szCs w:val="28"/>
        </w:rPr>
        <w:t xml:space="preserve">encounter </w:t>
      </w:r>
      <w:r w:rsidR="006E046F">
        <w:rPr>
          <w:rFonts w:ascii="Arial" w:hAnsi="Arial" w:cs="Arial"/>
          <w:sz w:val="28"/>
          <w:szCs w:val="28"/>
        </w:rPr>
        <w:t xml:space="preserve">daily </w:t>
      </w:r>
      <w:r w:rsidR="00DC03A7">
        <w:rPr>
          <w:rFonts w:ascii="Arial" w:hAnsi="Arial" w:cs="Arial"/>
          <w:sz w:val="28"/>
          <w:szCs w:val="28"/>
        </w:rPr>
        <w:t>can often</w:t>
      </w:r>
      <w:r w:rsidR="0081546F">
        <w:rPr>
          <w:rFonts w:ascii="Arial" w:hAnsi="Arial" w:cs="Arial"/>
          <w:sz w:val="28"/>
          <w:szCs w:val="28"/>
        </w:rPr>
        <w:t xml:space="preserve"> </w:t>
      </w:r>
      <w:r w:rsidR="002E7BBC">
        <w:rPr>
          <w:rFonts w:ascii="Arial" w:hAnsi="Arial" w:cs="Arial"/>
          <w:sz w:val="28"/>
          <w:szCs w:val="28"/>
        </w:rPr>
        <w:t xml:space="preserve">make </w:t>
      </w:r>
      <w:r w:rsidR="006E046F">
        <w:rPr>
          <w:rFonts w:ascii="Arial" w:hAnsi="Arial" w:cs="Arial"/>
          <w:sz w:val="28"/>
          <w:szCs w:val="28"/>
        </w:rPr>
        <w:t xml:space="preserve">the </w:t>
      </w:r>
      <w:r w:rsidR="00236ACE">
        <w:rPr>
          <w:rFonts w:ascii="Arial" w:hAnsi="Arial" w:cs="Arial"/>
          <w:sz w:val="28"/>
          <w:szCs w:val="28"/>
        </w:rPr>
        <w:t>pursuit of rights</w:t>
      </w:r>
      <w:r w:rsidR="005271FF">
        <w:rPr>
          <w:rFonts w:ascii="Arial" w:hAnsi="Arial" w:cs="Arial"/>
          <w:sz w:val="28"/>
          <w:szCs w:val="28"/>
        </w:rPr>
        <w:t xml:space="preserve"> like climbing the</w:t>
      </w:r>
      <w:r w:rsidR="00236ACE">
        <w:rPr>
          <w:rFonts w:ascii="Arial" w:hAnsi="Arial" w:cs="Arial"/>
          <w:sz w:val="28"/>
          <w:szCs w:val="28"/>
        </w:rPr>
        <w:t xml:space="preserve"> insurmountable</w:t>
      </w:r>
      <w:r w:rsidR="005271FF">
        <w:rPr>
          <w:rFonts w:ascii="Arial" w:hAnsi="Arial" w:cs="Arial"/>
          <w:sz w:val="28"/>
          <w:szCs w:val="28"/>
        </w:rPr>
        <w:t xml:space="preserve"> hill</w:t>
      </w:r>
      <w:r w:rsidR="0081546F">
        <w:rPr>
          <w:rFonts w:ascii="Arial" w:hAnsi="Arial" w:cs="Arial"/>
          <w:sz w:val="28"/>
          <w:szCs w:val="28"/>
        </w:rPr>
        <w:t>.</w:t>
      </w:r>
      <w:r w:rsidR="00410B2C">
        <w:rPr>
          <w:rFonts w:ascii="Arial" w:hAnsi="Arial" w:cs="Arial"/>
          <w:sz w:val="28"/>
          <w:szCs w:val="28"/>
        </w:rPr>
        <w:t xml:space="preserve"> </w:t>
      </w:r>
    </w:p>
    <w:p w:rsidR="00410B2C" w:rsidRDefault="00410B2C" w:rsidP="00F329EC">
      <w:pPr>
        <w:spacing w:after="240" w:line="240" w:lineRule="auto"/>
        <w:ind w:right="-1"/>
        <w:rPr>
          <w:rFonts w:ascii="Arial" w:hAnsi="Arial" w:cs="Arial"/>
          <w:sz w:val="28"/>
          <w:szCs w:val="28"/>
        </w:rPr>
      </w:pPr>
      <w:r>
        <w:rPr>
          <w:rFonts w:ascii="Arial" w:hAnsi="Arial" w:cs="Arial"/>
          <w:sz w:val="28"/>
          <w:szCs w:val="28"/>
        </w:rPr>
        <w:t xml:space="preserve">Today, then, I want to talk a little about the foundation </w:t>
      </w:r>
      <w:r w:rsidR="0081546F">
        <w:rPr>
          <w:rFonts w:ascii="Arial" w:hAnsi="Arial" w:cs="Arial"/>
          <w:sz w:val="28"/>
          <w:szCs w:val="28"/>
        </w:rPr>
        <w:t>on which the work</w:t>
      </w:r>
      <w:r w:rsidR="006241CC">
        <w:rPr>
          <w:rFonts w:ascii="Arial" w:hAnsi="Arial" w:cs="Arial"/>
          <w:sz w:val="28"/>
          <w:szCs w:val="28"/>
        </w:rPr>
        <w:t xml:space="preserve"> of</w:t>
      </w:r>
      <w:r w:rsidR="00F428B4">
        <w:rPr>
          <w:rFonts w:ascii="Arial" w:hAnsi="Arial" w:cs="Arial"/>
          <w:sz w:val="28"/>
          <w:szCs w:val="28"/>
        </w:rPr>
        <w:t xml:space="preserve"> </w:t>
      </w:r>
      <w:r>
        <w:rPr>
          <w:rFonts w:ascii="Arial" w:hAnsi="Arial" w:cs="Arial"/>
          <w:sz w:val="28"/>
          <w:szCs w:val="28"/>
        </w:rPr>
        <w:t>advocate</w:t>
      </w:r>
      <w:r w:rsidR="006241CC">
        <w:rPr>
          <w:rFonts w:ascii="Arial" w:hAnsi="Arial" w:cs="Arial"/>
          <w:sz w:val="28"/>
          <w:szCs w:val="28"/>
        </w:rPr>
        <w:t>s</w:t>
      </w:r>
      <w:r>
        <w:rPr>
          <w:rFonts w:ascii="Arial" w:hAnsi="Arial" w:cs="Arial"/>
          <w:sz w:val="28"/>
          <w:szCs w:val="28"/>
        </w:rPr>
        <w:t xml:space="preserve"> </w:t>
      </w:r>
      <w:r w:rsidR="00DC03A7">
        <w:rPr>
          <w:rFonts w:ascii="Arial" w:hAnsi="Arial" w:cs="Arial"/>
          <w:sz w:val="28"/>
          <w:szCs w:val="28"/>
        </w:rPr>
        <w:t xml:space="preserve">in the </w:t>
      </w:r>
      <w:r w:rsidR="00F428B4">
        <w:rPr>
          <w:rFonts w:ascii="Arial" w:hAnsi="Arial" w:cs="Arial"/>
          <w:sz w:val="28"/>
          <w:szCs w:val="28"/>
        </w:rPr>
        <w:t xml:space="preserve">disability </w:t>
      </w:r>
      <w:r w:rsidR="00DC03A7">
        <w:rPr>
          <w:rFonts w:ascii="Arial" w:hAnsi="Arial" w:cs="Arial"/>
          <w:sz w:val="28"/>
          <w:szCs w:val="28"/>
        </w:rPr>
        <w:t xml:space="preserve">arena </w:t>
      </w:r>
      <w:r>
        <w:rPr>
          <w:rFonts w:ascii="Arial" w:hAnsi="Arial" w:cs="Arial"/>
          <w:sz w:val="28"/>
          <w:szCs w:val="28"/>
        </w:rPr>
        <w:t xml:space="preserve">should be built – the </w:t>
      </w:r>
      <w:r w:rsidR="00F428B4">
        <w:rPr>
          <w:rFonts w:ascii="Arial" w:hAnsi="Arial" w:cs="Arial"/>
          <w:sz w:val="28"/>
          <w:szCs w:val="28"/>
        </w:rPr>
        <w:t xml:space="preserve">basis on which members of this audience </w:t>
      </w:r>
      <w:r w:rsidR="00DC03A7">
        <w:rPr>
          <w:rFonts w:ascii="Arial" w:hAnsi="Arial" w:cs="Arial"/>
          <w:sz w:val="28"/>
          <w:szCs w:val="28"/>
        </w:rPr>
        <w:t>already</w:t>
      </w:r>
      <w:r w:rsidR="009138CD">
        <w:rPr>
          <w:rFonts w:ascii="Arial" w:hAnsi="Arial" w:cs="Arial"/>
          <w:sz w:val="28"/>
          <w:szCs w:val="28"/>
        </w:rPr>
        <w:t xml:space="preserve"> advocate </w:t>
      </w:r>
      <w:r w:rsidR="00B7514A">
        <w:rPr>
          <w:rFonts w:ascii="Arial" w:hAnsi="Arial" w:cs="Arial"/>
          <w:sz w:val="28"/>
          <w:szCs w:val="28"/>
        </w:rPr>
        <w:t xml:space="preserve">for </w:t>
      </w:r>
      <w:r w:rsidR="009138CD">
        <w:rPr>
          <w:rFonts w:ascii="Arial" w:hAnsi="Arial" w:cs="Arial"/>
          <w:sz w:val="28"/>
          <w:szCs w:val="28"/>
        </w:rPr>
        <w:t>vulnerable people with disability are</w:t>
      </w:r>
      <w:r w:rsidR="00F428B4">
        <w:rPr>
          <w:rFonts w:ascii="Arial" w:hAnsi="Arial" w:cs="Arial"/>
          <w:sz w:val="28"/>
          <w:szCs w:val="28"/>
        </w:rPr>
        <w:t xml:space="preserve">, </w:t>
      </w:r>
      <w:r w:rsidR="007B337D">
        <w:rPr>
          <w:rFonts w:ascii="Arial" w:hAnsi="Arial" w:cs="Arial"/>
          <w:sz w:val="28"/>
          <w:szCs w:val="28"/>
        </w:rPr>
        <w:t xml:space="preserve">whether </w:t>
      </w:r>
      <w:r w:rsidR="00F428B4">
        <w:rPr>
          <w:rFonts w:ascii="Arial" w:hAnsi="Arial" w:cs="Arial"/>
          <w:sz w:val="28"/>
          <w:szCs w:val="28"/>
        </w:rPr>
        <w:t>o</w:t>
      </w:r>
      <w:r w:rsidR="00DC03A7">
        <w:rPr>
          <w:rFonts w:ascii="Arial" w:hAnsi="Arial" w:cs="Arial"/>
          <w:sz w:val="28"/>
          <w:szCs w:val="28"/>
        </w:rPr>
        <w:t>vertly articulated or not. In essence</w:t>
      </w:r>
      <w:r w:rsidR="00F428B4">
        <w:rPr>
          <w:rFonts w:ascii="Arial" w:hAnsi="Arial" w:cs="Arial"/>
          <w:sz w:val="28"/>
          <w:szCs w:val="28"/>
        </w:rPr>
        <w:t xml:space="preserve"> I want to remind you – and, by ext</w:t>
      </w:r>
      <w:r w:rsidR="007B337D">
        <w:rPr>
          <w:rFonts w:ascii="Arial" w:hAnsi="Arial" w:cs="Arial"/>
          <w:sz w:val="28"/>
          <w:szCs w:val="28"/>
        </w:rPr>
        <w:t>ension, those bodies to which</w:t>
      </w:r>
      <w:r w:rsidR="00F428B4">
        <w:rPr>
          <w:rFonts w:ascii="Arial" w:hAnsi="Arial" w:cs="Arial"/>
          <w:sz w:val="28"/>
          <w:szCs w:val="28"/>
        </w:rPr>
        <w:t xml:space="preserve"> you advocate – that</w:t>
      </w:r>
      <w:r w:rsidR="007B337D">
        <w:rPr>
          <w:rFonts w:ascii="Arial" w:hAnsi="Arial" w:cs="Arial"/>
          <w:sz w:val="28"/>
          <w:szCs w:val="28"/>
        </w:rPr>
        <w:t>, though of</w:t>
      </w:r>
      <w:r w:rsidR="00B973D3">
        <w:rPr>
          <w:rFonts w:ascii="Arial" w:hAnsi="Arial" w:cs="Arial"/>
          <w:sz w:val="28"/>
          <w:szCs w:val="28"/>
        </w:rPr>
        <w:t>ten very pragmatic and local</w:t>
      </w:r>
      <w:r w:rsidR="00236ACE">
        <w:rPr>
          <w:rFonts w:ascii="Arial" w:hAnsi="Arial" w:cs="Arial"/>
          <w:sz w:val="28"/>
          <w:szCs w:val="28"/>
        </w:rPr>
        <w:t xml:space="preserve"> actions</w:t>
      </w:r>
      <w:r w:rsidR="00F428B4">
        <w:rPr>
          <w:rFonts w:ascii="Arial" w:hAnsi="Arial" w:cs="Arial"/>
          <w:sz w:val="28"/>
          <w:szCs w:val="28"/>
        </w:rPr>
        <w:t xml:space="preserve">, the claims you make for </w:t>
      </w:r>
      <w:r w:rsidR="00236ACE">
        <w:rPr>
          <w:rFonts w:ascii="Arial" w:hAnsi="Arial" w:cs="Arial"/>
          <w:sz w:val="28"/>
          <w:szCs w:val="28"/>
        </w:rPr>
        <w:t>vulnerable people with disability</w:t>
      </w:r>
      <w:r w:rsidR="00F428B4">
        <w:rPr>
          <w:rFonts w:ascii="Arial" w:hAnsi="Arial" w:cs="Arial"/>
          <w:sz w:val="28"/>
          <w:szCs w:val="28"/>
        </w:rPr>
        <w:t xml:space="preserve"> rest</w:t>
      </w:r>
      <w:r w:rsidR="0081546F">
        <w:rPr>
          <w:rFonts w:ascii="Arial" w:hAnsi="Arial" w:cs="Arial"/>
          <w:sz w:val="28"/>
          <w:szCs w:val="28"/>
        </w:rPr>
        <w:t xml:space="preserve"> upon a</w:t>
      </w:r>
      <w:r w:rsidR="00B973D3">
        <w:rPr>
          <w:rFonts w:ascii="Arial" w:hAnsi="Arial" w:cs="Arial"/>
          <w:sz w:val="28"/>
          <w:szCs w:val="28"/>
        </w:rPr>
        <w:t xml:space="preserve"> very glob</w:t>
      </w:r>
      <w:r w:rsidR="007B337D">
        <w:rPr>
          <w:rFonts w:ascii="Arial" w:hAnsi="Arial" w:cs="Arial"/>
          <w:sz w:val="28"/>
          <w:szCs w:val="28"/>
        </w:rPr>
        <w:t>al bottom line</w:t>
      </w:r>
      <w:r w:rsidR="00F428B4">
        <w:rPr>
          <w:rFonts w:ascii="Arial" w:hAnsi="Arial" w:cs="Arial"/>
          <w:sz w:val="28"/>
          <w:szCs w:val="28"/>
        </w:rPr>
        <w:t xml:space="preserve">. </w:t>
      </w:r>
    </w:p>
    <w:p w:rsidR="0079450B" w:rsidRDefault="0079450B" w:rsidP="00F329EC">
      <w:pPr>
        <w:spacing w:after="240" w:line="240" w:lineRule="auto"/>
        <w:ind w:right="-1"/>
        <w:rPr>
          <w:rFonts w:ascii="Arial" w:hAnsi="Arial" w:cs="Arial"/>
          <w:sz w:val="28"/>
          <w:szCs w:val="28"/>
        </w:rPr>
      </w:pPr>
      <w:r>
        <w:rPr>
          <w:rFonts w:ascii="Arial" w:hAnsi="Arial" w:cs="Arial"/>
          <w:sz w:val="28"/>
          <w:szCs w:val="28"/>
        </w:rPr>
        <w:lastRenderedPageBreak/>
        <w:t>I draw upon the vision and wisdom of Eleanor Roosevelt's to draw the relationship of thinking globally and acting locally in the context of human rights.</w:t>
      </w:r>
    </w:p>
    <w:p w:rsidR="0079450B" w:rsidRDefault="0079450B" w:rsidP="00F329EC">
      <w:pPr>
        <w:spacing w:after="240" w:line="240" w:lineRule="auto"/>
        <w:ind w:right="-1"/>
        <w:jc w:val="center"/>
        <w:rPr>
          <w:rFonts w:ascii="Arial" w:hAnsi="Arial" w:cs="Arial"/>
          <w:sz w:val="28"/>
          <w:szCs w:val="28"/>
        </w:rPr>
      </w:pPr>
      <w:r>
        <w:rPr>
          <w:rFonts w:ascii="Arial" w:hAnsi="Arial" w:cs="Arial"/>
          <w:sz w:val="28"/>
          <w:szCs w:val="28"/>
        </w:rPr>
        <w:t>'</w:t>
      </w:r>
      <w:r w:rsidRPr="00FA4BAE">
        <w:rPr>
          <w:rFonts w:ascii="Arial" w:hAnsi="Arial" w:cs="Arial"/>
          <w:b/>
          <w:sz w:val="28"/>
          <w:szCs w:val="28"/>
        </w:rPr>
        <w:t>Where Human Rights Begin'</w:t>
      </w:r>
    </w:p>
    <w:p w:rsidR="0079450B" w:rsidRPr="004D1C30" w:rsidRDefault="0079450B" w:rsidP="00F935B0">
      <w:pPr>
        <w:spacing w:after="240" w:line="240" w:lineRule="auto"/>
        <w:ind w:left="720" w:right="566"/>
        <w:rPr>
          <w:rFonts w:ascii="Arial" w:hAnsi="Arial" w:cs="Arial"/>
          <w:sz w:val="18"/>
          <w:szCs w:val="18"/>
        </w:rPr>
      </w:pPr>
      <w:r w:rsidRPr="00FA4BAE">
        <w:rPr>
          <w:rFonts w:ascii="Arial" w:hAnsi="Arial" w:cs="Arial"/>
          <w:i/>
          <w:color w:val="333333"/>
          <w:sz w:val="28"/>
          <w:szCs w:val="28"/>
          <w:lang w:val="en"/>
        </w:rPr>
        <w:t xml:space="preserve">"Where, after all, do universal human rights begin? In small places, close to home - so close and so small that they cannot be seen on any maps of the world. Yet they are the world of the individual person; the neighborhood he lives in; the school or college he attends; the factory, farm, or office where he works. Such are the places where every man, woman, and child seeks equal justice, equal opportunity, </w:t>
      </w:r>
      <w:bookmarkStart w:id="0" w:name="_GoBack"/>
      <w:bookmarkEnd w:id="0"/>
      <w:r w:rsidRPr="00FA4BAE">
        <w:rPr>
          <w:rFonts w:ascii="Arial" w:hAnsi="Arial" w:cs="Arial"/>
          <w:i/>
          <w:color w:val="333333"/>
          <w:sz w:val="28"/>
          <w:szCs w:val="28"/>
          <w:lang w:val="en"/>
        </w:rPr>
        <w:t>equal dignity without discrimination. Unless these rights have meaning there, they have little meaning anywhere. Without concerted citizen action to uphold them close to home, we shall look in vain for progress in the larger world</w:t>
      </w:r>
      <w:r>
        <w:rPr>
          <w:rFonts w:ascii="Arial" w:hAnsi="Arial" w:cs="Arial"/>
          <w:i/>
          <w:color w:val="333333"/>
          <w:sz w:val="28"/>
          <w:szCs w:val="28"/>
          <w:lang w:val="en"/>
        </w:rPr>
        <w:t>”</w:t>
      </w:r>
      <w:r w:rsidRPr="00FA4BAE">
        <w:rPr>
          <w:rFonts w:ascii="Arial" w:hAnsi="Arial" w:cs="Arial"/>
          <w:i/>
          <w:color w:val="333333"/>
          <w:sz w:val="28"/>
          <w:szCs w:val="28"/>
          <w:lang w:val="en"/>
        </w:rPr>
        <w:t>.</w:t>
      </w:r>
      <w:r>
        <w:rPr>
          <w:rFonts w:ascii="Arial" w:hAnsi="Arial" w:cs="Arial"/>
          <w:i/>
          <w:color w:val="333333"/>
          <w:sz w:val="28"/>
          <w:szCs w:val="28"/>
          <w:lang w:val="en"/>
        </w:rPr>
        <w:t xml:space="preserve"> Eleanor Roosevelt 1936.</w:t>
      </w:r>
      <w:r>
        <w:rPr>
          <w:rStyle w:val="FootnoteReference"/>
          <w:rFonts w:ascii="Arial" w:hAnsi="Arial" w:cs="Arial"/>
          <w:i/>
          <w:color w:val="333333"/>
          <w:sz w:val="28"/>
          <w:szCs w:val="28"/>
          <w:lang w:val="en"/>
        </w:rPr>
        <w:footnoteReference w:id="1"/>
      </w:r>
    </w:p>
    <w:p w:rsidR="00F428B4" w:rsidRPr="00F329EC" w:rsidRDefault="00F428B4" w:rsidP="00F329EC">
      <w:pPr>
        <w:pStyle w:val="Heading1"/>
        <w:spacing w:before="240" w:after="240"/>
      </w:pPr>
      <w:r w:rsidRPr="00F329EC">
        <w:t xml:space="preserve">What is </w:t>
      </w:r>
      <w:r w:rsidR="007B337D" w:rsidRPr="00F329EC">
        <w:t xml:space="preserve">the value of </w:t>
      </w:r>
      <w:r w:rsidRPr="00F329EC">
        <w:t>advocacy?</w:t>
      </w:r>
    </w:p>
    <w:p w:rsidR="00F428B4" w:rsidRDefault="007B337D" w:rsidP="00F329EC">
      <w:pPr>
        <w:spacing w:after="240" w:line="240" w:lineRule="auto"/>
        <w:ind w:right="-1"/>
        <w:rPr>
          <w:rFonts w:ascii="Arial" w:hAnsi="Arial" w:cs="Arial"/>
          <w:sz w:val="28"/>
          <w:szCs w:val="28"/>
        </w:rPr>
      </w:pPr>
      <w:r>
        <w:rPr>
          <w:rFonts w:ascii="Arial" w:hAnsi="Arial" w:cs="Arial"/>
          <w:sz w:val="28"/>
          <w:szCs w:val="28"/>
        </w:rPr>
        <w:t xml:space="preserve">So what is the </w:t>
      </w:r>
      <w:r w:rsidR="00DC03A7">
        <w:rPr>
          <w:rFonts w:ascii="Arial" w:hAnsi="Arial" w:cs="Arial"/>
          <w:sz w:val="28"/>
          <w:szCs w:val="28"/>
        </w:rPr>
        <w:t>real value of advocacy</w:t>
      </w:r>
      <w:r w:rsidR="0081546F">
        <w:rPr>
          <w:rFonts w:ascii="Arial" w:hAnsi="Arial" w:cs="Arial"/>
          <w:sz w:val="28"/>
          <w:szCs w:val="28"/>
        </w:rPr>
        <w:t xml:space="preserve">? </w:t>
      </w:r>
      <w:r>
        <w:rPr>
          <w:rFonts w:ascii="Arial" w:hAnsi="Arial" w:cs="Arial"/>
          <w:sz w:val="28"/>
          <w:szCs w:val="28"/>
        </w:rPr>
        <w:t>After all, i</w:t>
      </w:r>
      <w:r w:rsidR="00B7514A">
        <w:rPr>
          <w:rFonts w:ascii="Arial" w:hAnsi="Arial" w:cs="Arial"/>
          <w:sz w:val="28"/>
          <w:szCs w:val="28"/>
        </w:rPr>
        <w:t>n any social</w:t>
      </w:r>
      <w:r w:rsidR="00F428B4">
        <w:rPr>
          <w:rFonts w:ascii="Arial" w:hAnsi="Arial" w:cs="Arial"/>
          <w:sz w:val="28"/>
          <w:szCs w:val="28"/>
        </w:rPr>
        <w:t xml:space="preserve"> policy</w:t>
      </w:r>
      <w:r w:rsidR="00B7514A">
        <w:rPr>
          <w:rFonts w:ascii="Arial" w:hAnsi="Arial" w:cs="Arial"/>
          <w:sz w:val="28"/>
          <w:szCs w:val="28"/>
        </w:rPr>
        <w:t xml:space="preserve"> area</w:t>
      </w:r>
      <w:r w:rsidR="00F428B4">
        <w:rPr>
          <w:rFonts w:ascii="Arial" w:hAnsi="Arial" w:cs="Arial"/>
          <w:sz w:val="28"/>
          <w:szCs w:val="28"/>
        </w:rPr>
        <w:t xml:space="preserve">, the funding focus is </w:t>
      </w:r>
      <w:r w:rsidR="0081546F">
        <w:rPr>
          <w:rFonts w:ascii="Arial" w:hAnsi="Arial" w:cs="Arial"/>
          <w:sz w:val="28"/>
          <w:szCs w:val="28"/>
        </w:rPr>
        <w:t xml:space="preserve">often </w:t>
      </w:r>
      <w:r w:rsidR="00F428B4">
        <w:rPr>
          <w:rFonts w:ascii="Arial" w:hAnsi="Arial" w:cs="Arial"/>
          <w:sz w:val="28"/>
          <w:szCs w:val="28"/>
        </w:rPr>
        <w:t xml:space="preserve">directed primarily towards </w:t>
      </w:r>
      <w:r w:rsidR="00DC03A7">
        <w:rPr>
          <w:rFonts w:ascii="Arial" w:hAnsi="Arial" w:cs="Arial"/>
          <w:sz w:val="28"/>
          <w:szCs w:val="28"/>
        </w:rPr>
        <w:t xml:space="preserve">direct </w:t>
      </w:r>
      <w:r w:rsidR="00F428B4">
        <w:rPr>
          <w:rFonts w:ascii="Arial" w:hAnsi="Arial" w:cs="Arial"/>
          <w:sz w:val="28"/>
          <w:szCs w:val="28"/>
        </w:rPr>
        <w:t xml:space="preserve">service provision, with advocacy </w:t>
      </w:r>
      <w:r w:rsidR="00B7514A">
        <w:rPr>
          <w:rFonts w:ascii="Arial" w:hAnsi="Arial" w:cs="Arial"/>
          <w:sz w:val="28"/>
          <w:szCs w:val="28"/>
        </w:rPr>
        <w:t xml:space="preserve">perceived as a </w:t>
      </w:r>
      <w:r w:rsidR="00B973D3">
        <w:rPr>
          <w:rFonts w:ascii="Arial" w:hAnsi="Arial" w:cs="Arial"/>
          <w:sz w:val="28"/>
          <w:szCs w:val="28"/>
        </w:rPr>
        <w:t>luxury item</w:t>
      </w:r>
      <w:r w:rsidR="00F428B4">
        <w:rPr>
          <w:rFonts w:ascii="Arial" w:hAnsi="Arial" w:cs="Arial"/>
          <w:sz w:val="28"/>
          <w:szCs w:val="28"/>
        </w:rPr>
        <w:t xml:space="preserve"> when faced with co</w:t>
      </w:r>
      <w:r>
        <w:rPr>
          <w:rFonts w:ascii="Arial" w:hAnsi="Arial" w:cs="Arial"/>
          <w:sz w:val="28"/>
          <w:szCs w:val="28"/>
        </w:rPr>
        <w:t>mpeting budgetary demands</w:t>
      </w:r>
      <w:r w:rsidR="00F428B4">
        <w:rPr>
          <w:rFonts w:ascii="Arial" w:hAnsi="Arial" w:cs="Arial"/>
          <w:sz w:val="28"/>
          <w:szCs w:val="28"/>
        </w:rPr>
        <w:t xml:space="preserve">. </w:t>
      </w:r>
    </w:p>
    <w:p w:rsidR="00F428B4" w:rsidRDefault="00F428B4" w:rsidP="00F329EC">
      <w:pPr>
        <w:spacing w:after="240" w:line="240" w:lineRule="auto"/>
        <w:ind w:right="-1"/>
        <w:rPr>
          <w:rFonts w:ascii="Arial" w:hAnsi="Arial" w:cs="Arial"/>
          <w:sz w:val="28"/>
          <w:szCs w:val="28"/>
        </w:rPr>
      </w:pPr>
      <w:r>
        <w:rPr>
          <w:rFonts w:ascii="Arial" w:hAnsi="Arial" w:cs="Arial"/>
          <w:sz w:val="28"/>
          <w:szCs w:val="28"/>
        </w:rPr>
        <w:t>Yet, as this audie</w:t>
      </w:r>
      <w:r w:rsidR="00417C92">
        <w:rPr>
          <w:rFonts w:ascii="Arial" w:hAnsi="Arial" w:cs="Arial"/>
          <w:sz w:val="28"/>
          <w:szCs w:val="28"/>
        </w:rPr>
        <w:t xml:space="preserve">nce well knows, </w:t>
      </w:r>
      <w:r w:rsidR="00B7514A">
        <w:rPr>
          <w:rFonts w:ascii="Arial" w:hAnsi="Arial" w:cs="Arial"/>
          <w:sz w:val="28"/>
          <w:szCs w:val="28"/>
        </w:rPr>
        <w:t>without advocacy to build a bridge</w:t>
      </w:r>
      <w:r w:rsidR="00DC03A7">
        <w:rPr>
          <w:rFonts w:ascii="Arial" w:hAnsi="Arial" w:cs="Arial"/>
          <w:sz w:val="28"/>
          <w:szCs w:val="28"/>
        </w:rPr>
        <w:t xml:space="preserve">, </w:t>
      </w:r>
      <w:r w:rsidR="00417C92">
        <w:rPr>
          <w:rFonts w:ascii="Arial" w:hAnsi="Arial" w:cs="Arial"/>
          <w:sz w:val="28"/>
          <w:szCs w:val="28"/>
        </w:rPr>
        <w:t xml:space="preserve">too often services </w:t>
      </w:r>
      <w:r w:rsidR="0081546F">
        <w:rPr>
          <w:rFonts w:ascii="Arial" w:hAnsi="Arial" w:cs="Arial"/>
          <w:sz w:val="28"/>
          <w:szCs w:val="28"/>
        </w:rPr>
        <w:t xml:space="preserve">can </w:t>
      </w:r>
      <w:r w:rsidR="00DC03A7">
        <w:rPr>
          <w:rFonts w:ascii="Arial" w:hAnsi="Arial" w:cs="Arial"/>
          <w:sz w:val="28"/>
          <w:szCs w:val="28"/>
        </w:rPr>
        <w:t>remain inaccessible to the people</w:t>
      </w:r>
      <w:r w:rsidR="00417C92">
        <w:rPr>
          <w:rFonts w:ascii="Arial" w:hAnsi="Arial" w:cs="Arial"/>
          <w:sz w:val="28"/>
          <w:szCs w:val="28"/>
        </w:rPr>
        <w:t xml:space="preserve"> who need them</w:t>
      </w:r>
      <w:r w:rsidR="00DC03A7">
        <w:rPr>
          <w:rFonts w:ascii="Arial" w:hAnsi="Arial" w:cs="Arial"/>
          <w:sz w:val="28"/>
          <w:szCs w:val="28"/>
        </w:rPr>
        <w:t xml:space="preserve">. Equally, problems connected with </w:t>
      </w:r>
      <w:r w:rsidR="00B7514A">
        <w:rPr>
          <w:rFonts w:ascii="Arial" w:hAnsi="Arial" w:cs="Arial"/>
          <w:sz w:val="28"/>
          <w:szCs w:val="28"/>
        </w:rPr>
        <w:t xml:space="preserve">service provision can </w:t>
      </w:r>
      <w:r w:rsidR="00417C92">
        <w:rPr>
          <w:rFonts w:ascii="Arial" w:hAnsi="Arial" w:cs="Arial"/>
          <w:sz w:val="28"/>
          <w:szCs w:val="28"/>
        </w:rPr>
        <w:t>become</w:t>
      </w:r>
      <w:r w:rsidR="0081546F">
        <w:rPr>
          <w:rFonts w:ascii="Arial" w:hAnsi="Arial" w:cs="Arial"/>
          <w:sz w:val="28"/>
          <w:szCs w:val="28"/>
        </w:rPr>
        <w:t xml:space="preserve"> intractable without advocacy </w:t>
      </w:r>
      <w:r w:rsidR="007B337D">
        <w:rPr>
          <w:rFonts w:ascii="Arial" w:hAnsi="Arial" w:cs="Arial"/>
          <w:sz w:val="28"/>
          <w:szCs w:val="28"/>
        </w:rPr>
        <w:t>to forge</w:t>
      </w:r>
      <w:r w:rsidR="00417C92">
        <w:rPr>
          <w:rFonts w:ascii="Arial" w:hAnsi="Arial" w:cs="Arial"/>
          <w:sz w:val="28"/>
          <w:szCs w:val="28"/>
        </w:rPr>
        <w:t xml:space="preserve"> a way out. </w:t>
      </w:r>
    </w:p>
    <w:p w:rsidR="00417C92" w:rsidRPr="00F428B4" w:rsidRDefault="007B337D" w:rsidP="00F329EC">
      <w:pPr>
        <w:spacing w:after="240" w:line="240" w:lineRule="auto"/>
        <w:ind w:right="-1"/>
        <w:rPr>
          <w:rFonts w:ascii="Arial" w:hAnsi="Arial" w:cs="Arial"/>
          <w:sz w:val="28"/>
          <w:szCs w:val="28"/>
        </w:rPr>
      </w:pPr>
      <w:r>
        <w:rPr>
          <w:rFonts w:ascii="Arial" w:hAnsi="Arial" w:cs="Arial"/>
          <w:sz w:val="28"/>
          <w:szCs w:val="28"/>
        </w:rPr>
        <w:t>This is illustrated in</w:t>
      </w:r>
      <w:r w:rsidR="00417C92">
        <w:rPr>
          <w:rFonts w:ascii="Arial" w:hAnsi="Arial" w:cs="Arial"/>
          <w:sz w:val="28"/>
          <w:szCs w:val="28"/>
        </w:rPr>
        <w:t xml:space="preserve"> the simple example of Bella’s story. </w:t>
      </w:r>
    </w:p>
    <w:p w:rsidR="00F305A2" w:rsidRDefault="00417C92" w:rsidP="00F329EC">
      <w:pPr>
        <w:spacing w:after="240" w:line="240" w:lineRule="auto"/>
        <w:ind w:right="-1"/>
        <w:rPr>
          <w:rFonts w:ascii="Arial" w:hAnsi="Arial" w:cs="Arial"/>
          <w:sz w:val="28"/>
          <w:szCs w:val="28"/>
        </w:rPr>
      </w:pPr>
      <w:r>
        <w:rPr>
          <w:rFonts w:ascii="Arial" w:hAnsi="Arial" w:cs="Arial"/>
          <w:sz w:val="28"/>
          <w:szCs w:val="28"/>
        </w:rPr>
        <w:t xml:space="preserve">The Adult Guardian had been appointed to make decisions about Bella’s accommodation and </w:t>
      </w:r>
      <w:r w:rsidR="00F305A2">
        <w:rPr>
          <w:rFonts w:ascii="Arial" w:hAnsi="Arial" w:cs="Arial"/>
          <w:sz w:val="28"/>
          <w:szCs w:val="28"/>
        </w:rPr>
        <w:t>Bella had resided in a D</w:t>
      </w:r>
      <w:r>
        <w:rPr>
          <w:rFonts w:ascii="Arial" w:hAnsi="Arial" w:cs="Arial"/>
          <w:sz w:val="28"/>
          <w:szCs w:val="28"/>
        </w:rPr>
        <w:t xml:space="preserve">epartment of Housing unit </w:t>
      </w:r>
      <w:r w:rsidR="00DC03A7">
        <w:rPr>
          <w:rFonts w:ascii="Arial" w:hAnsi="Arial" w:cs="Arial"/>
          <w:sz w:val="28"/>
          <w:szCs w:val="28"/>
        </w:rPr>
        <w:t xml:space="preserve">until </w:t>
      </w:r>
      <w:r w:rsidR="007B337D">
        <w:rPr>
          <w:rFonts w:ascii="Arial" w:hAnsi="Arial" w:cs="Arial"/>
          <w:sz w:val="28"/>
          <w:szCs w:val="28"/>
        </w:rPr>
        <w:t>it was</w:t>
      </w:r>
      <w:r w:rsidR="00F305A2">
        <w:rPr>
          <w:rFonts w:ascii="Arial" w:hAnsi="Arial" w:cs="Arial"/>
          <w:sz w:val="28"/>
          <w:szCs w:val="28"/>
        </w:rPr>
        <w:t xml:space="preserve"> decided that</w:t>
      </w:r>
      <w:r w:rsidR="007F1B91">
        <w:rPr>
          <w:rFonts w:ascii="Arial" w:hAnsi="Arial" w:cs="Arial"/>
          <w:sz w:val="28"/>
          <w:szCs w:val="28"/>
        </w:rPr>
        <w:t xml:space="preserve"> </w:t>
      </w:r>
      <w:r w:rsidR="00F305A2">
        <w:rPr>
          <w:rFonts w:ascii="Arial" w:hAnsi="Arial" w:cs="Arial"/>
          <w:sz w:val="28"/>
          <w:szCs w:val="28"/>
        </w:rPr>
        <w:t>it was in her best interests to move to alternative accommodation. When Bella moved</w:t>
      </w:r>
      <w:r w:rsidR="00241BF3">
        <w:rPr>
          <w:rFonts w:ascii="Arial" w:hAnsi="Arial" w:cs="Arial"/>
          <w:sz w:val="28"/>
          <w:szCs w:val="28"/>
        </w:rPr>
        <w:t>,</w:t>
      </w:r>
      <w:r w:rsidR="00F305A2">
        <w:rPr>
          <w:rFonts w:ascii="Arial" w:hAnsi="Arial" w:cs="Arial"/>
          <w:sz w:val="28"/>
          <w:szCs w:val="28"/>
        </w:rPr>
        <w:t xml:space="preserve"> some of her belongin</w:t>
      </w:r>
      <w:r w:rsidR="00DC03A7">
        <w:rPr>
          <w:rFonts w:ascii="Arial" w:hAnsi="Arial" w:cs="Arial"/>
          <w:sz w:val="28"/>
          <w:szCs w:val="28"/>
        </w:rPr>
        <w:t>gs were left behind</w:t>
      </w:r>
      <w:r w:rsidR="00F305A2">
        <w:rPr>
          <w:rFonts w:ascii="Arial" w:hAnsi="Arial" w:cs="Arial"/>
          <w:sz w:val="28"/>
          <w:szCs w:val="28"/>
        </w:rPr>
        <w:t>. T</w:t>
      </w:r>
      <w:r w:rsidR="00A33D2E">
        <w:rPr>
          <w:rFonts w:ascii="Arial" w:hAnsi="Arial" w:cs="Arial"/>
          <w:sz w:val="28"/>
          <w:szCs w:val="28"/>
        </w:rPr>
        <w:t>he Department of Housing email</w:t>
      </w:r>
      <w:r w:rsidR="00F305A2">
        <w:rPr>
          <w:rFonts w:ascii="Arial" w:hAnsi="Arial" w:cs="Arial"/>
          <w:sz w:val="28"/>
          <w:szCs w:val="28"/>
        </w:rPr>
        <w:t xml:space="preserve">ed the appointed guardian </w:t>
      </w:r>
      <w:r w:rsidR="00A33D2E">
        <w:rPr>
          <w:rFonts w:ascii="Arial" w:hAnsi="Arial" w:cs="Arial"/>
          <w:sz w:val="28"/>
          <w:szCs w:val="28"/>
        </w:rPr>
        <w:t>to advise</w:t>
      </w:r>
      <w:r w:rsidR="00F305A2">
        <w:rPr>
          <w:rFonts w:ascii="Arial" w:hAnsi="Arial" w:cs="Arial"/>
          <w:sz w:val="28"/>
          <w:szCs w:val="28"/>
        </w:rPr>
        <w:t xml:space="preserve"> that Bella’s possessions were being remo</w:t>
      </w:r>
      <w:r>
        <w:rPr>
          <w:rFonts w:ascii="Arial" w:hAnsi="Arial" w:cs="Arial"/>
          <w:sz w:val="28"/>
          <w:szCs w:val="28"/>
        </w:rPr>
        <w:t xml:space="preserve">ved and </w:t>
      </w:r>
      <w:r w:rsidR="00F305A2">
        <w:rPr>
          <w:rFonts w:ascii="Arial" w:hAnsi="Arial" w:cs="Arial"/>
          <w:sz w:val="28"/>
          <w:szCs w:val="28"/>
        </w:rPr>
        <w:t xml:space="preserve">placed in storage. If Bella’s possessions were not collected by a date </w:t>
      </w:r>
      <w:r>
        <w:rPr>
          <w:rFonts w:ascii="Arial" w:hAnsi="Arial" w:cs="Arial"/>
          <w:sz w:val="28"/>
          <w:szCs w:val="28"/>
        </w:rPr>
        <w:t xml:space="preserve">nominated in the email </w:t>
      </w:r>
      <w:r w:rsidR="00F305A2">
        <w:rPr>
          <w:rFonts w:ascii="Arial" w:hAnsi="Arial" w:cs="Arial"/>
          <w:sz w:val="28"/>
          <w:szCs w:val="28"/>
        </w:rPr>
        <w:t xml:space="preserve">that was approximately 12 months away, then the possessions </w:t>
      </w:r>
      <w:r>
        <w:rPr>
          <w:rFonts w:ascii="Arial" w:hAnsi="Arial" w:cs="Arial"/>
          <w:sz w:val="28"/>
          <w:szCs w:val="28"/>
        </w:rPr>
        <w:t>would be destroyed. T</w:t>
      </w:r>
      <w:r w:rsidR="00F305A2">
        <w:rPr>
          <w:rFonts w:ascii="Arial" w:hAnsi="Arial" w:cs="Arial"/>
          <w:sz w:val="28"/>
          <w:szCs w:val="28"/>
        </w:rPr>
        <w:t xml:space="preserve">he appointed guardian </w:t>
      </w:r>
      <w:r>
        <w:rPr>
          <w:rFonts w:ascii="Arial" w:hAnsi="Arial" w:cs="Arial"/>
          <w:sz w:val="28"/>
          <w:szCs w:val="28"/>
        </w:rPr>
        <w:t xml:space="preserve">was asked </w:t>
      </w:r>
      <w:r w:rsidR="00F305A2">
        <w:rPr>
          <w:rFonts w:ascii="Arial" w:hAnsi="Arial" w:cs="Arial"/>
          <w:sz w:val="28"/>
          <w:szCs w:val="28"/>
        </w:rPr>
        <w:t xml:space="preserve">to pass this information on to Bella. </w:t>
      </w:r>
    </w:p>
    <w:p w:rsidR="00F305A2" w:rsidRDefault="00F305A2" w:rsidP="00F329EC">
      <w:pPr>
        <w:spacing w:after="240" w:line="240" w:lineRule="auto"/>
        <w:ind w:right="-1"/>
        <w:rPr>
          <w:rFonts w:ascii="Arial" w:hAnsi="Arial" w:cs="Arial"/>
          <w:sz w:val="28"/>
          <w:szCs w:val="28"/>
        </w:rPr>
      </w:pPr>
      <w:r>
        <w:rPr>
          <w:rFonts w:ascii="Arial" w:hAnsi="Arial" w:cs="Arial"/>
          <w:sz w:val="28"/>
          <w:szCs w:val="28"/>
        </w:rPr>
        <w:lastRenderedPageBreak/>
        <w:t>Approximately 2 months later</w:t>
      </w:r>
      <w:r w:rsidR="00241BF3">
        <w:rPr>
          <w:rFonts w:ascii="Arial" w:hAnsi="Arial" w:cs="Arial"/>
          <w:sz w:val="28"/>
          <w:szCs w:val="28"/>
        </w:rPr>
        <w:t>,</w:t>
      </w:r>
      <w:r>
        <w:rPr>
          <w:rFonts w:ascii="Arial" w:hAnsi="Arial" w:cs="Arial"/>
          <w:sz w:val="28"/>
          <w:szCs w:val="28"/>
        </w:rPr>
        <w:t xml:space="preserve"> </w:t>
      </w:r>
      <w:r w:rsidR="00417C92">
        <w:rPr>
          <w:rFonts w:ascii="Arial" w:hAnsi="Arial" w:cs="Arial"/>
          <w:sz w:val="28"/>
          <w:szCs w:val="28"/>
        </w:rPr>
        <w:t>however, Bella discovered</w:t>
      </w:r>
      <w:r>
        <w:rPr>
          <w:rFonts w:ascii="Arial" w:hAnsi="Arial" w:cs="Arial"/>
          <w:sz w:val="28"/>
          <w:szCs w:val="28"/>
        </w:rPr>
        <w:t xml:space="preserve"> that her possessions had been destroyed. When Bella and the appointed guardian queried this,</w:t>
      </w:r>
      <w:r w:rsidR="00241BF3">
        <w:rPr>
          <w:rFonts w:ascii="Arial" w:hAnsi="Arial" w:cs="Arial"/>
          <w:sz w:val="28"/>
          <w:szCs w:val="28"/>
        </w:rPr>
        <w:t xml:space="preserve"> they were informed </w:t>
      </w:r>
      <w:r>
        <w:rPr>
          <w:rFonts w:ascii="Arial" w:hAnsi="Arial" w:cs="Arial"/>
          <w:sz w:val="28"/>
          <w:szCs w:val="28"/>
        </w:rPr>
        <w:t>that the date in th</w:t>
      </w:r>
      <w:r w:rsidR="00417C92">
        <w:rPr>
          <w:rFonts w:ascii="Arial" w:hAnsi="Arial" w:cs="Arial"/>
          <w:sz w:val="28"/>
          <w:szCs w:val="28"/>
        </w:rPr>
        <w:t>e initial email was an error, but</w:t>
      </w:r>
      <w:r>
        <w:rPr>
          <w:rFonts w:ascii="Arial" w:hAnsi="Arial" w:cs="Arial"/>
          <w:sz w:val="28"/>
          <w:szCs w:val="28"/>
        </w:rPr>
        <w:t xml:space="preserve"> that the Department could not be held liable. The relevant legislation provides that the lessor or provider o</w:t>
      </w:r>
      <w:r w:rsidR="00241BF3">
        <w:rPr>
          <w:rFonts w:ascii="Arial" w:hAnsi="Arial" w:cs="Arial"/>
          <w:sz w:val="28"/>
          <w:szCs w:val="28"/>
        </w:rPr>
        <w:t>nly need</w:t>
      </w:r>
      <w:r>
        <w:rPr>
          <w:rFonts w:ascii="Arial" w:hAnsi="Arial" w:cs="Arial"/>
          <w:sz w:val="28"/>
          <w:szCs w:val="28"/>
        </w:rPr>
        <w:t xml:space="preserve"> to store an individual’s goods for at least one month. </w:t>
      </w:r>
    </w:p>
    <w:p w:rsidR="00F305A2" w:rsidRDefault="00417C92" w:rsidP="00F329EC">
      <w:pPr>
        <w:spacing w:after="240" w:line="240" w:lineRule="auto"/>
        <w:ind w:right="-1"/>
        <w:rPr>
          <w:rFonts w:ascii="Arial" w:hAnsi="Arial" w:cs="Arial"/>
          <w:sz w:val="28"/>
          <w:szCs w:val="28"/>
        </w:rPr>
      </w:pPr>
      <w:r>
        <w:rPr>
          <w:rFonts w:ascii="Arial" w:hAnsi="Arial" w:cs="Arial"/>
          <w:sz w:val="28"/>
          <w:szCs w:val="28"/>
        </w:rPr>
        <w:t xml:space="preserve">Bella was very distressed by what had taken place, and her </w:t>
      </w:r>
      <w:r w:rsidR="00241BF3">
        <w:rPr>
          <w:rFonts w:ascii="Arial" w:hAnsi="Arial" w:cs="Arial"/>
          <w:sz w:val="28"/>
          <w:szCs w:val="28"/>
        </w:rPr>
        <w:t>advocate put to the Department</w:t>
      </w:r>
      <w:r w:rsidR="00F305A2">
        <w:rPr>
          <w:rFonts w:ascii="Arial" w:hAnsi="Arial" w:cs="Arial"/>
          <w:sz w:val="28"/>
          <w:szCs w:val="28"/>
        </w:rPr>
        <w:t xml:space="preserve"> that it was reasonable to expect that </w:t>
      </w:r>
      <w:r>
        <w:rPr>
          <w:rFonts w:ascii="Arial" w:hAnsi="Arial" w:cs="Arial"/>
          <w:sz w:val="28"/>
          <w:szCs w:val="28"/>
        </w:rPr>
        <w:t xml:space="preserve">its </w:t>
      </w:r>
      <w:r w:rsidR="00241BF3">
        <w:rPr>
          <w:rFonts w:ascii="Arial" w:hAnsi="Arial" w:cs="Arial"/>
          <w:sz w:val="28"/>
          <w:szCs w:val="28"/>
        </w:rPr>
        <w:t>staff would be</w:t>
      </w:r>
      <w:r>
        <w:rPr>
          <w:rFonts w:ascii="Arial" w:hAnsi="Arial" w:cs="Arial"/>
          <w:sz w:val="28"/>
          <w:szCs w:val="28"/>
        </w:rPr>
        <w:t xml:space="preserve"> experts regard</w:t>
      </w:r>
      <w:r w:rsidR="00F305A2">
        <w:rPr>
          <w:rFonts w:ascii="Arial" w:hAnsi="Arial" w:cs="Arial"/>
          <w:sz w:val="28"/>
          <w:szCs w:val="28"/>
        </w:rPr>
        <w:t>ing the rel</w:t>
      </w:r>
      <w:r w:rsidR="00DC03A7">
        <w:rPr>
          <w:rFonts w:ascii="Arial" w:hAnsi="Arial" w:cs="Arial"/>
          <w:sz w:val="28"/>
          <w:szCs w:val="28"/>
        </w:rPr>
        <w:t>evant provisions</w:t>
      </w:r>
      <w:r>
        <w:rPr>
          <w:rFonts w:ascii="Arial" w:hAnsi="Arial" w:cs="Arial"/>
          <w:sz w:val="28"/>
          <w:szCs w:val="28"/>
        </w:rPr>
        <w:t xml:space="preserve"> and that Bella and the appointed guardian were therefore entitled to rely </w:t>
      </w:r>
      <w:r w:rsidR="00F305A2">
        <w:rPr>
          <w:rFonts w:ascii="Arial" w:hAnsi="Arial" w:cs="Arial"/>
          <w:sz w:val="28"/>
          <w:szCs w:val="28"/>
        </w:rPr>
        <w:t xml:space="preserve">on the Department’s communication in good faith. </w:t>
      </w:r>
    </w:p>
    <w:p w:rsidR="00367662" w:rsidRDefault="00417C92" w:rsidP="00F329EC">
      <w:pPr>
        <w:spacing w:after="240" w:line="240" w:lineRule="auto"/>
        <w:ind w:right="-1"/>
        <w:rPr>
          <w:rFonts w:ascii="Arial" w:hAnsi="Arial" w:cs="Arial"/>
          <w:sz w:val="28"/>
          <w:szCs w:val="28"/>
        </w:rPr>
      </w:pPr>
      <w:r>
        <w:rPr>
          <w:rFonts w:ascii="Arial" w:hAnsi="Arial" w:cs="Arial"/>
          <w:sz w:val="28"/>
          <w:szCs w:val="28"/>
        </w:rPr>
        <w:t xml:space="preserve">Bella’s advocate conveyed Bella’s distress to the Department and </w:t>
      </w:r>
      <w:r w:rsidR="00DC03A7">
        <w:rPr>
          <w:rFonts w:ascii="Arial" w:hAnsi="Arial" w:cs="Arial"/>
          <w:sz w:val="28"/>
          <w:szCs w:val="28"/>
        </w:rPr>
        <w:t xml:space="preserve">to </w:t>
      </w:r>
      <w:r>
        <w:rPr>
          <w:rFonts w:ascii="Arial" w:hAnsi="Arial" w:cs="Arial"/>
          <w:sz w:val="28"/>
          <w:szCs w:val="28"/>
        </w:rPr>
        <w:t xml:space="preserve">the Office of the Adult Guardian about the way that events had transpired. While Bella’s belongings could obviously not be recovered, </w:t>
      </w:r>
      <w:r w:rsidR="00367662">
        <w:rPr>
          <w:rFonts w:ascii="Arial" w:hAnsi="Arial" w:cs="Arial"/>
          <w:sz w:val="28"/>
          <w:szCs w:val="28"/>
        </w:rPr>
        <w:t>g</w:t>
      </w:r>
      <w:r>
        <w:rPr>
          <w:rFonts w:ascii="Arial" w:hAnsi="Arial" w:cs="Arial"/>
          <w:sz w:val="28"/>
          <w:szCs w:val="28"/>
        </w:rPr>
        <w:t xml:space="preserve">iven that </w:t>
      </w:r>
      <w:r w:rsidR="00F305A2">
        <w:rPr>
          <w:rFonts w:ascii="Arial" w:hAnsi="Arial" w:cs="Arial"/>
          <w:sz w:val="28"/>
          <w:szCs w:val="28"/>
        </w:rPr>
        <w:t>Bella had an outstanding debt with the Department – including, ironically, the expense of remo</w:t>
      </w:r>
      <w:r>
        <w:rPr>
          <w:rFonts w:ascii="Arial" w:hAnsi="Arial" w:cs="Arial"/>
          <w:sz w:val="28"/>
          <w:szCs w:val="28"/>
        </w:rPr>
        <w:t>ving and storing her belongings - the advocate was able to have</w:t>
      </w:r>
      <w:r w:rsidR="00033A2D">
        <w:rPr>
          <w:rFonts w:ascii="Arial" w:hAnsi="Arial" w:cs="Arial"/>
          <w:sz w:val="28"/>
          <w:szCs w:val="28"/>
        </w:rPr>
        <w:t xml:space="preserve"> this debt waived as a form of redress for the </w:t>
      </w:r>
      <w:r>
        <w:rPr>
          <w:rFonts w:ascii="Arial" w:hAnsi="Arial" w:cs="Arial"/>
          <w:sz w:val="28"/>
          <w:szCs w:val="28"/>
        </w:rPr>
        <w:t>loss of her belongings</w:t>
      </w:r>
      <w:r w:rsidR="00367662">
        <w:rPr>
          <w:rFonts w:ascii="Arial" w:hAnsi="Arial" w:cs="Arial"/>
          <w:sz w:val="28"/>
          <w:szCs w:val="28"/>
        </w:rPr>
        <w:t xml:space="preserve">. </w:t>
      </w:r>
    </w:p>
    <w:p w:rsidR="00F305A2" w:rsidRDefault="00DC03A7" w:rsidP="00F329EC">
      <w:pPr>
        <w:spacing w:after="240" w:line="240" w:lineRule="auto"/>
        <w:ind w:right="-1"/>
        <w:rPr>
          <w:rFonts w:ascii="Arial" w:hAnsi="Arial" w:cs="Arial"/>
          <w:sz w:val="28"/>
          <w:szCs w:val="28"/>
        </w:rPr>
      </w:pPr>
      <w:r>
        <w:rPr>
          <w:rFonts w:ascii="Arial" w:hAnsi="Arial" w:cs="Arial"/>
          <w:sz w:val="28"/>
          <w:szCs w:val="28"/>
        </w:rPr>
        <w:t>As simple as this compromise may seem</w:t>
      </w:r>
      <w:r w:rsidR="00B7514A">
        <w:rPr>
          <w:rFonts w:ascii="Arial" w:hAnsi="Arial" w:cs="Arial"/>
          <w:sz w:val="28"/>
          <w:szCs w:val="28"/>
        </w:rPr>
        <w:t xml:space="preserve">, </w:t>
      </w:r>
      <w:r>
        <w:rPr>
          <w:rFonts w:ascii="Arial" w:hAnsi="Arial" w:cs="Arial"/>
          <w:sz w:val="28"/>
          <w:szCs w:val="28"/>
        </w:rPr>
        <w:t xml:space="preserve">it is an important example of how advocates can build pragmatic bridges for </w:t>
      </w:r>
      <w:r w:rsidR="009B7F15">
        <w:rPr>
          <w:rFonts w:ascii="Arial" w:hAnsi="Arial" w:cs="Arial"/>
          <w:sz w:val="28"/>
          <w:szCs w:val="28"/>
        </w:rPr>
        <w:t>those who they advocate for</w:t>
      </w:r>
      <w:r>
        <w:rPr>
          <w:rFonts w:ascii="Arial" w:hAnsi="Arial" w:cs="Arial"/>
          <w:sz w:val="28"/>
          <w:szCs w:val="28"/>
        </w:rPr>
        <w:t xml:space="preserve">. </w:t>
      </w:r>
      <w:r w:rsidR="009A213D">
        <w:rPr>
          <w:rFonts w:ascii="Arial" w:hAnsi="Arial" w:cs="Arial"/>
          <w:sz w:val="28"/>
          <w:szCs w:val="28"/>
        </w:rPr>
        <w:t>This audience knows</w:t>
      </w:r>
      <w:r w:rsidR="00367662">
        <w:rPr>
          <w:rFonts w:ascii="Arial" w:hAnsi="Arial" w:cs="Arial"/>
          <w:sz w:val="28"/>
          <w:szCs w:val="28"/>
        </w:rPr>
        <w:t xml:space="preserve"> how the accumulation of debts, however small, can be one of the disabling forces t</w:t>
      </w:r>
      <w:r>
        <w:rPr>
          <w:rFonts w:ascii="Arial" w:hAnsi="Arial" w:cs="Arial"/>
          <w:sz w:val="28"/>
          <w:szCs w:val="28"/>
        </w:rPr>
        <w:t>hat trap people in disadvantage, one piling on top of another and preventing people from retaining, or regaining, control of their affairs.</w:t>
      </w:r>
    </w:p>
    <w:p w:rsidR="0081546F" w:rsidRDefault="0081546F" w:rsidP="00F329EC">
      <w:pPr>
        <w:spacing w:after="240" w:line="240" w:lineRule="auto"/>
        <w:ind w:right="-1"/>
        <w:rPr>
          <w:rFonts w:ascii="Arial" w:hAnsi="Arial" w:cs="Arial"/>
          <w:sz w:val="28"/>
          <w:szCs w:val="28"/>
        </w:rPr>
      </w:pPr>
      <w:r>
        <w:rPr>
          <w:rFonts w:ascii="Arial" w:hAnsi="Arial" w:cs="Arial"/>
          <w:sz w:val="28"/>
          <w:szCs w:val="28"/>
        </w:rPr>
        <w:t>Another, and perhaps more acute</w:t>
      </w:r>
      <w:r w:rsidR="00DC03A7">
        <w:rPr>
          <w:rFonts w:ascii="Arial" w:hAnsi="Arial" w:cs="Arial"/>
          <w:sz w:val="28"/>
          <w:szCs w:val="28"/>
        </w:rPr>
        <w:t>, reminder</w:t>
      </w:r>
      <w:r>
        <w:rPr>
          <w:rFonts w:ascii="Arial" w:hAnsi="Arial" w:cs="Arial"/>
          <w:sz w:val="28"/>
          <w:szCs w:val="28"/>
        </w:rPr>
        <w:t xml:space="preserve"> </w:t>
      </w:r>
      <w:r w:rsidR="00B7514A">
        <w:rPr>
          <w:rFonts w:ascii="Arial" w:hAnsi="Arial" w:cs="Arial"/>
          <w:sz w:val="28"/>
          <w:szCs w:val="28"/>
        </w:rPr>
        <w:t xml:space="preserve">of the value of advocacy </w:t>
      </w:r>
      <w:r>
        <w:rPr>
          <w:rFonts w:ascii="Arial" w:hAnsi="Arial" w:cs="Arial"/>
          <w:sz w:val="28"/>
          <w:szCs w:val="28"/>
        </w:rPr>
        <w:t xml:space="preserve">can be found in the story of Rose. </w:t>
      </w:r>
    </w:p>
    <w:p w:rsidR="0081546F" w:rsidRDefault="00033A2D" w:rsidP="00F329EC">
      <w:pPr>
        <w:spacing w:after="240" w:line="240" w:lineRule="auto"/>
        <w:ind w:right="-1"/>
        <w:rPr>
          <w:rFonts w:ascii="Arial" w:hAnsi="Arial" w:cs="Arial"/>
          <w:sz w:val="28"/>
          <w:szCs w:val="28"/>
        </w:rPr>
      </w:pPr>
      <w:r w:rsidRPr="00CB14F1">
        <w:rPr>
          <w:rFonts w:ascii="Arial" w:hAnsi="Arial" w:cs="Arial"/>
          <w:sz w:val="28"/>
          <w:szCs w:val="28"/>
        </w:rPr>
        <w:t xml:space="preserve">Rose was living in </w:t>
      </w:r>
      <w:r w:rsidR="00DC03A7">
        <w:rPr>
          <w:rFonts w:ascii="Arial" w:hAnsi="Arial" w:cs="Arial"/>
          <w:sz w:val="28"/>
          <w:szCs w:val="28"/>
        </w:rPr>
        <w:t>a shared housing arrangement, receiving 24 hour</w:t>
      </w:r>
      <w:r w:rsidRPr="00CB14F1">
        <w:rPr>
          <w:rFonts w:ascii="Arial" w:hAnsi="Arial" w:cs="Arial"/>
          <w:sz w:val="28"/>
          <w:szCs w:val="28"/>
        </w:rPr>
        <w:t xml:space="preserve"> support from a no</w:t>
      </w:r>
      <w:r w:rsidR="0081546F">
        <w:rPr>
          <w:rFonts w:ascii="Arial" w:hAnsi="Arial" w:cs="Arial"/>
          <w:sz w:val="28"/>
          <w:szCs w:val="28"/>
        </w:rPr>
        <w:t xml:space="preserve">n-government </w:t>
      </w:r>
      <w:r w:rsidRPr="00CB14F1">
        <w:rPr>
          <w:rFonts w:ascii="Arial" w:hAnsi="Arial" w:cs="Arial"/>
          <w:sz w:val="28"/>
          <w:szCs w:val="28"/>
        </w:rPr>
        <w:t xml:space="preserve">service. </w:t>
      </w:r>
      <w:r w:rsidR="0081546F">
        <w:rPr>
          <w:rFonts w:ascii="Arial" w:hAnsi="Arial" w:cs="Arial"/>
          <w:sz w:val="28"/>
          <w:szCs w:val="28"/>
        </w:rPr>
        <w:t>When her mother visited</w:t>
      </w:r>
      <w:r>
        <w:rPr>
          <w:rFonts w:ascii="Arial" w:hAnsi="Arial" w:cs="Arial"/>
          <w:sz w:val="28"/>
          <w:szCs w:val="28"/>
        </w:rPr>
        <w:t xml:space="preserve">, she </w:t>
      </w:r>
      <w:r w:rsidR="0081546F">
        <w:rPr>
          <w:rFonts w:ascii="Arial" w:hAnsi="Arial" w:cs="Arial"/>
          <w:sz w:val="28"/>
          <w:szCs w:val="28"/>
        </w:rPr>
        <w:t>was horrified to see that Rose had an infected eye;</w:t>
      </w:r>
      <w:r>
        <w:rPr>
          <w:rFonts w:ascii="Arial" w:hAnsi="Arial" w:cs="Arial"/>
          <w:sz w:val="28"/>
          <w:szCs w:val="28"/>
        </w:rPr>
        <w:t xml:space="preserve"> </w:t>
      </w:r>
      <w:r w:rsidR="0081546F">
        <w:rPr>
          <w:rFonts w:ascii="Arial" w:hAnsi="Arial" w:cs="Arial"/>
          <w:sz w:val="28"/>
          <w:szCs w:val="28"/>
        </w:rPr>
        <w:t xml:space="preserve">that </w:t>
      </w:r>
      <w:r>
        <w:rPr>
          <w:rFonts w:ascii="Arial" w:hAnsi="Arial" w:cs="Arial"/>
          <w:sz w:val="28"/>
          <w:szCs w:val="28"/>
        </w:rPr>
        <w:t>her shoulder bone was prot</w:t>
      </w:r>
      <w:r w:rsidR="0081546F">
        <w:rPr>
          <w:rFonts w:ascii="Arial" w:hAnsi="Arial" w:cs="Arial"/>
          <w:sz w:val="28"/>
          <w:szCs w:val="28"/>
        </w:rPr>
        <w:t>ruding and was obviously broken; and that</w:t>
      </w:r>
      <w:r>
        <w:rPr>
          <w:rFonts w:ascii="Arial" w:hAnsi="Arial" w:cs="Arial"/>
          <w:sz w:val="28"/>
          <w:szCs w:val="28"/>
        </w:rPr>
        <w:t xml:space="preserve"> there was bruising on her left shoul</w:t>
      </w:r>
      <w:r w:rsidR="0081546F">
        <w:rPr>
          <w:rFonts w:ascii="Arial" w:hAnsi="Arial" w:cs="Arial"/>
          <w:sz w:val="28"/>
          <w:szCs w:val="28"/>
        </w:rPr>
        <w:t>der, arm, stomach and leg. W</w:t>
      </w:r>
      <w:r>
        <w:rPr>
          <w:rFonts w:ascii="Arial" w:hAnsi="Arial" w:cs="Arial"/>
          <w:sz w:val="28"/>
          <w:szCs w:val="28"/>
        </w:rPr>
        <w:t>hen Rose’s mother asked what had happened, nobody knew how Ro</w:t>
      </w:r>
      <w:r w:rsidR="0081546F">
        <w:rPr>
          <w:rFonts w:ascii="Arial" w:hAnsi="Arial" w:cs="Arial"/>
          <w:sz w:val="28"/>
          <w:szCs w:val="28"/>
        </w:rPr>
        <w:t>se had received her injuries, despite the fact that Rose was supposedly under 24 hour care. Meanwhile,</w:t>
      </w:r>
      <w:r>
        <w:rPr>
          <w:rFonts w:ascii="Arial" w:hAnsi="Arial" w:cs="Arial"/>
          <w:sz w:val="28"/>
          <w:szCs w:val="28"/>
        </w:rPr>
        <w:t xml:space="preserve"> Rose’s limited verbal skills meant that she w</w:t>
      </w:r>
      <w:r w:rsidR="00DC03A7">
        <w:rPr>
          <w:rFonts w:ascii="Arial" w:hAnsi="Arial" w:cs="Arial"/>
          <w:sz w:val="28"/>
          <w:szCs w:val="28"/>
        </w:rPr>
        <w:t>as unable to relate</w:t>
      </w:r>
      <w:r w:rsidR="0081546F">
        <w:rPr>
          <w:rFonts w:ascii="Arial" w:hAnsi="Arial" w:cs="Arial"/>
          <w:sz w:val="28"/>
          <w:szCs w:val="28"/>
        </w:rPr>
        <w:t xml:space="preserve"> what had occurred. </w:t>
      </w:r>
    </w:p>
    <w:p w:rsidR="00033A2D" w:rsidRDefault="0081546F" w:rsidP="00F329EC">
      <w:pPr>
        <w:spacing w:after="240" w:line="240" w:lineRule="auto"/>
        <w:ind w:right="-1"/>
        <w:rPr>
          <w:rFonts w:ascii="Arial" w:hAnsi="Arial" w:cs="Arial"/>
          <w:sz w:val="28"/>
          <w:szCs w:val="28"/>
        </w:rPr>
      </w:pPr>
      <w:r>
        <w:rPr>
          <w:rFonts w:ascii="Arial" w:hAnsi="Arial" w:cs="Arial"/>
          <w:sz w:val="28"/>
          <w:szCs w:val="28"/>
        </w:rPr>
        <w:t>A</w:t>
      </w:r>
      <w:r w:rsidR="00DC03A7">
        <w:rPr>
          <w:rFonts w:ascii="Arial" w:hAnsi="Arial" w:cs="Arial"/>
          <w:sz w:val="28"/>
          <w:szCs w:val="28"/>
        </w:rPr>
        <w:t>n advocate</w:t>
      </w:r>
      <w:r>
        <w:rPr>
          <w:rFonts w:ascii="Arial" w:hAnsi="Arial" w:cs="Arial"/>
          <w:sz w:val="28"/>
          <w:szCs w:val="28"/>
        </w:rPr>
        <w:t xml:space="preserve"> became involved in Rose’s case and </w:t>
      </w:r>
      <w:r w:rsidR="00033A2D">
        <w:rPr>
          <w:rFonts w:ascii="Arial" w:hAnsi="Arial" w:cs="Arial"/>
          <w:sz w:val="28"/>
          <w:szCs w:val="28"/>
        </w:rPr>
        <w:t>found that</w:t>
      </w:r>
      <w:r>
        <w:rPr>
          <w:rFonts w:ascii="Arial" w:hAnsi="Arial" w:cs="Arial"/>
          <w:sz w:val="28"/>
          <w:szCs w:val="28"/>
        </w:rPr>
        <w:t>,</w:t>
      </w:r>
      <w:r w:rsidR="00033A2D">
        <w:rPr>
          <w:rFonts w:ascii="Arial" w:hAnsi="Arial" w:cs="Arial"/>
          <w:sz w:val="28"/>
          <w:szCs w:val="28"/>
        </w:rPr>
        <w:t xml:space="preserve"> not only had Rose been seriously injured, but that she had been vide</w:t>
      </w:r>
      <w:r w:rsidR="00DC03A7">
        <w:rPr>
          <w:rFonts w:ascii="Arial" w:hAnsi="Arial" w:cs="Arial"/>
          <w:sz w:val="28"/>
          <w:szCs w:val="28"/>
        </w:rPr>
        <w:t xml:space="preserve">oed without her permission and the </w:t>
      </w:r>
      <w:r w:rsidR="00033A2D">
        <w:rPr>
          <w:rFonts w:ascii="Arial" w:hAnsi="Arial" w:cs="Arial"/>
          <w:sz w:val="28"/>
          <w:szCs w:val="28"/>
        </w:rPr>
        <w:t xml:space="preserve">video shown to various parties. </w:t>
      </w:r>
      <w:r>
        <w:rPr>
          <w:rFonts w:ascii="Arial" w:hAnsi="Arial" w:cs="Arial"/>
          <w:sz w:val="28"/>
          <w:szCs w:val="28"/>
        </w:rPr>
        <w:t xml:space="preserve">In </w:t>
      </w:r>
      <w:r>
        <w:rPr>
          <w:rFonts w:ascii="Arial" w:hAnsi="Arial" w:cs="Arial"/>
          <w:sz w:val="28"/>
          <w:szCs w:val="28"/>
        </w:rPr>
        <w:lastRenderedPageBreak/>
        <w:t xml:space="preserve">addition, she had </w:t>
      </w:r>
      <w:r w:rsidR="00033A2D">
        <w:rPr>
          <w:rFonts w:ascii="Arial" w:hAnsi="Arial" w:cs="Arial"/>
          <w:sz w:val="28"/>
          <w:szCs w:val="28"/>
        </w:rPr>
        <w:t>been unlawfully chemically restrained</w:t>
      </w:r>
      <w:r>
        <w:rPr>
          <w:rFonts w:ascii="Arial" w:hAnsi="Arial" w:cs="Arial"/>
          <w:sz w:val="28"/>
          <w:szCs w:val="28"/>
        </w:rPr>
        <w:t>, while</w:t>
      </w:r>
      <w:r w:rsidR="00033A2D">
        <w:rPr>
          <w:rFonts w:ascii="Arial" w:hAnsi="Arial" w:cs="Arial"/>
          <w:sz w:val="28"/>
          <w:szCs w:val="28"/>
        </w:rPr>
        <w:t xml:space="preserve"> her money had </w:t>
      </w:r>
      <w:r>
        <w:rPr>
          <w:rFonts w:ascii="Arial" w:hAnsi="Arial" w:cs="Arial"/>
          <w:sz w:val="28"/>
          <w:szCs w:val="28"/>
        </w:rPr>
        <w:t xml:space="preserve">also </w:t>
      </w:r>
      <w:r w:rsidR="00033A2D">
        <w:rPr>
          <w:rFonts w:ascii="Arial" w:hAnsi="Arial" w:cs="Arial"/>
          <w:sz w:val="28"/>
          <w:szCs w:val="28"/>
        </w:rPr>
        <w:t>been misused</w:t>
      </w:r>
      <w:r w:rsidR="00DC03A7">
        <w:rPr>
          <w:rFonts w:ascii="Arial" w:hAnsi="Arial" w:cs="Arial"/>
          <w:sz w:val="28"/>
          <w:szCs w:val="28"/>
        </w:rPr>
        <w:t xml:space="preserve"> by the service</w:t>
      </w:r>
      <w:r w:rsidR="00033A2D">
        <w:rPr>
          <w:rFonts w:ascii="Arial" w:hAnsi="Arial" w:cs="Arial"/>
          <w:sz w:val="28"/>
          <w:szCs w:val="28"/>
        </w:rPr>
        <w:t xml:space="preserve">. </w:t>
      </w:r>
    </w:p>
    <w:p w:rsidR="0081546F" w:rsidRDefault="00033A2D" w:rsidP="00F329EC">
      <w:pPr>
        <w:spacing w:after="240" w:line="240" w:lineRule="auto"/>
        <w:ind w:right="-1"/>
        <w:rPr>
          <w:rFonts w:ascii="Arial" w:hAnsi="Arial" w:cs="Arial"/>
          <w:sz w:val="28"/>
          <w:szCs w:val="28"/>
        </w:rPr>
      </w:pPr>
      <w:r>
        <w:rPr>
          <w:rFonts w:ascii="Arial" w:hAnsi="Arial" w:cs="Arial"/>
          <w:sz w:val="28"/>
          <w:szCs w:val="28"/>
        </w:rPr>
        <w:t xml:space="preserve">Following the advocate’s intervention, Rose was moved from the service </w:t>
      </w:r>
      <w:r w:rsidR="0081546F">
        <w:rPr>
          <w:rFonts w:ascii="Arial" w:hAnsi="Arial" w:cs="Arial"/>
          <w:sz w:val="28"/>
          <w:szCs w:val="28"/>
        </w:rPr>
        <w:t xml:space="preserve">in question </w:t>
      </w:r>
      <w:r>
        <w:rPr>
          <w:rFonts w:ascii="Arial" w:hAnsi="Arial" w:cs="Arial"/>
          <w:sz w:val="28"/>
          <w:szCs w:val="28"/>
        </w:rPr>
        <w:t xml:space="preserve">and placed in respite while the various concerns were being investigated. </w:t>
      </w:r>
      <w:r w:rsidR="00B7514A">
        <w:rPr>
          <w:rFonts w:ascii="Arial" w:hAnsi="Arial" w:cs="Arial"/>
          <w:sz w:val="28"/>
          <w:szCs w:val="28"/>
        </w:rPr>
        <w:t>Police beca</w:t>
      </w:r>
      <w:r w:rsidR="00B717C8">
        <w:rPr>
          <w:rFonts w:ascii="Arial" w:hAnsi="Arial" w:cs="Arial"/>
          <w:sz w:val="28"/>
          <w:szCs w:val="28"/>
        </w:rPr>
        <w:t>me involved</w:t>
      </w:r>
      <w:r>
        <w:rPr>
          <w:rFonts w:ascii="Arial" w:hAnsi="Arial" w:cs="Arial"/>
          <w:sz w:val="28"/>
          <w:szCs w:val="28"/>
        </w:rPr>
        <w:t xml:space="preserve"> but were unable to obtain sufficient evidence. A complaint </w:t>
      </w:r>
      <w:r w:rsidR="00DC03A7">
        <w:rPr>
          <w:rFonts w:ascii="Arial" w:hAnsi="Arial" w:cs="Arial"/>
          <w:sz w:val="28"/>
          <w:szCs w:val="28"/>
        </w:rPr>
        <w:t>was then ultimately</w:t>
      </w:r>
      <w:r>
        <w:rPr>
          <w:rFonts w:ascii="Arial" w:hAnsi="Arial" w:cs="Arial"/>
          <w:sz w:val="28"/>
          <w:szCs w:val="28"/>
        </w:rPr>
        <w:t xml:space="preserve"> referred to the Department’s Compliance Unit due to </w:t>
      </w:r>
      <w:r w:rsidR="00DC03A7">
        <w:rPr>
          <w:rFonts w:ascii="Arial" w:hAnsi="Arial" w:cs="Arial"/>
          <w:sz w:val="28"/>
          <w:szCs w:val="28"/>
        </w:rPr>
        <w:t xml:space="preserve">the </w:t>
      </w:r>
      <w:r>
        <w:rPr>
          <w:rFonts w:ascii="Arial" w:hAnsi="Arial" w:cs="Arial"/>
          <w:sz w:val="28"/>
          <w:szCs w:val="28"/>
        </w:rPr>
        <w:t xml:space="preserve">potential </w:t>
      </w:r>
      <w:r w:rsidR="0081546F">
        <w:rPr>
          <w:rFonts w:ascii="Arial" w:hAnsi="Arial" w:cs="Arial"/>
          <w:sz w:val="28"/>
          <w:szCs w:val="28"/>
        </w:rPr>
        <w:t xml:space="preserve">criminal nature of the matter. </w:t>
      </w:r>
    </w:p>
    <w:p w:rsidR="00033A2D" w:rsidRDefault="0081546F" w:rsidP="00F329EC">
      <w:pPr>
        <w:spacing w:after="240" w:line="240" w:lineRule="auto"/>
        <w:ind w:right="-1"/>
        <w:rPr>
          <w:rFonts w:ascii="Arial" w:hAnsi="Arial" w:cs="Arial"/>
          <w:sz w:val="28"/>
          <w:szCs w:val="28"/>
        </w:rPr>
      </w:pPr>
      <w:r>
        <w:rPr>
          <w:rFonts w:ascii="Arial" w:hAnsi="Arial" w:cs="Arial"/>
          <w:sz w:val="28"/>
          <w:szCs w:val="28"/>
        </w:rPr>
        <w:t>A c</w:t>
      </w:r>
      <w:r w:rsidR="00033A2D">
        <w:rPr>
          <w:rFonts w:ascii="Arial" w:hAnsi="Arial" w:cs="Arial"/>
          <w:sz w:val="28"/>
          <w:szCs w:val="28"/>
        </w:rPr>
        <w:t xml:space="preserve">omplaint </w:t>
      </w:r>
      <w:r>
        <w:rPr>
          <w:rFonts w:ascii="Arial" w:hAnsi="Arial" w:cs="Arial"/>
          <w:sz w:val="28"/>
          <w:szCs w:val="28"/>
        </w:rPr>
        <w:t xml:space="preserve">was </w:t>
      </w:r>
      <w:r w:rsidR="00033A2D">
        <w:rPr>
          <w:rFonts w:ascii="Arial" w:hAnsi="Arial" w:cs="Arial"/>
          <w:sz w:val="28"/>
          <w:szCs w:val="28"/>
        </w:rPr>
        <w:t>also made regarding the breaches to Rose’s privacy and illegal use of chemical restraint – both of which were substantiate</w:t>
      </w:r>
      <w:r w:rsidR="00B7514A">
        <w:rPr>
          <w:rFonts w:ascii="Arial" w:hAnsi="Arial" w:cs="Arial"/>
          <w:sz w:val="28"/>
          <w:szCs w:val="28"/>
        </w:rPr>
        <w:t>d, with the service now committ</w:t>
      </w:r>
      <w:r w:rsidR="00033A2D">
        <w:rPr>
          <w:rFonts w:ascii="Arial" w:hAnsi="Arial" w:cs="Arial"/>
          <w:sz w:val="28"/>
          <w:szCs w:val="28"/>
        </w:rPr>
        <w:t xml:space="preserve">ing to develop strategies to ensure that such failures are not repeated. </w:t>
      </w:r>
      <w:r>
        <w:rPr>
          <w:rFonts w:ascii="Arial" w:hAnsi="Arial" w:cs="Arial"/>
          <w:sz w:val="28"/>
          <w:szCs w:val="28"/>
        </w:rPr>
        <w:t>In addition, t</w:t>
      </w:r>
      <w:r w:rsidR="00033A2D">
        <w:rPr>
          <w:rFonts w:ascii="Arial" w:hAnsi="Arial" w:cs="Arial"/>
          <w:sz w:val="28"/>
          <w:szCs w:val="28"/>
        </w:rPr>
        <w:t>he advocate also requested that the Public Trustee undertake a full financial audit of Rose’s finances and, as a result, the service has been ordered to pay several thousand dollars back into Rose</w:t>
      </w:r>
      <w:r>
        <w:rPr>
          <w:rFonts w:ascii="Arial" w:hAnsi="Arial" w:cs="Arial"/>
          <w:sz w:val="28"/>
          <w:szCs w:val="28"/>
        </w:rPr>
        <w:t>’s</w:t>
      </w:r>
      <w:r w:rsidR="00033A2D">
        <w:rPr>
          <w:rFonts w:ascii="Arial" w:hAnsi="Arial" w:cs="Arial"/>
          <w:sz w:val="28"/>
          <w:szCs w:val="28"/>
        </w:rPr>
        <w:t xml:space="preserve"> account. </w:t>
      </w:r>
    </w:p>
    <w:p w:rsidR="0048678D" w:rsidRDefault="0077087D" w:rsidP="00F329EC">
      <w:pPr>
        <w:spacing w:after="240" w:line="240" w:lineRule="auto"/>
        <w:ind w:right="-1"/>
        <w:rPr>
          <w:rFonts w:ascii="Arial" w:hAnsi="Arial" w:cs="Arial"/>
          <w:sz w:val="28"/>
          <w:szCs w:val="28"/>
        </w:rPr>
      </w:pPr>
      <w:r>
        <w:rPr>
          <w:rFonts w:ascii="Arial" w:hAnsi="Arial" w:cs="Arial"/>
          <w:sz w:val="28"/>
          <w:szCs w:val="28"/>
        </w:rPr>
        <w:t xml:space="preserve">It defies belief </w:t>
      </w:r>
      <w:r w:rsidR="000F7433">
        <w:rPr>
          <w:rFonts w:ascii="Arial" w:hAnsi="Arial" w:cs="Arial"/>
          <w:sz w:val="28"/>
          <w:szCs w:val="28"/>
        </w:rPr>
        <w:t xml:space="preserve">that this kind of scenario can </w:t>
      </w:r>
      <w:r>
        <w:rPr>
          <w:rFonts w:ascii="Arial" w:hAnsi="Arial" w:cs="Arial"/>
          <w:sz w:val="28"/>
          <w:szCs w:val="28"/>
        </w:rPr>
        <w:t xml:space="preserve">arise in the land of the </w:t>
      </w:r>
      <w:r w:rsidR="00B7514A">
        <w:rPr>
          <w:rFonts w:ascii="Arial" w:hAnsi="Arial" w:cs="Arial"/>
          <w:sz w:val="28"/>
          <w:szCs w:val="28"/>
        </w:rPr>
        <w:t xml:space="preserve">purported </w:t>
      </w:r>
      <w:r>
        <w:rPr>
          <w:rFonts w:ascii="Arial" w:hAnsi="Arial" w:cs="Arial"/>
          <w:sz w:val="28"/>
          <w:szCs w:val="28"/>
        </w:rPr>
        <w:t xml:space="preserve">fair go. </w:t>
      </w:r>
      <w:r w:rsidR="00EA0742">
        <w:rPr>
          <w:rFonts w:ascii="Arial" w:hAnsi="Arial" w:cs="Arial"/>
          <w:sz w:val="28"/>
          <w:szCs w:val="28"/>
        </w:rPr>
        <w:t>Yet, as this audience will know, myriad stories like this exist - stories of recurrent failure by agencies; of people falling through the service delivery cracks; of marginalisation compounded, rather than alleviated</w:t>
      </w:r>
      <w:r>
        <w:rPr>
          <w:rFonts w:ascii="Arial" w:hAnsi="Arial" w:cs="Arial"/>
          <w:sz w:val="28"/>
          <w:szCs w:val="28"/>
        </w:rPr>
        <w:t xml:space="preserve"> by the wider health and justice systems</w:t>
      </w:r>
      <w:r w:rsidR="00474656">
        <w:rPr>
          <w:rFonts w:ascii="Arial" w:hAnsi="Arial" w:cs="Arial"/>
          <w:sz w:val="28"/>
          <w:szCs w:val="28"/>
        </w:rPr>
        <w:t>;</w:t>
      </w:r>
      <w:r w:rsidR="00474656" w:rsidRPr="00474656">
        <w:rPr>
          <w:rFonts w:ascii="Arial" w:hAnsi="Arial" w:cs="Arial"/>
          <w:sz w:val="28"/>
          <w:szCs w:val="28"/>
        </w:rPr>
        <w:t xml:space="preserve"> </w:t>
      </w:r>
      <w:r w:rsidR="00474656">
        <w:rPr>
          <w:rFonts w:ascii="Arial" w:hAnsi="Arial" w:cs="Arial"/>
          <w:sz w:val="28"/>
          <w:szCs w:val="28"/>
        </w:rPr>
        <w:t>of individuals hand ba</w:t>
      </w:r>
      <w:r>
        <w:rPr>
          <w:rFonts w:ascii="Arial" w:hAnsi="Arial" w:cs="Arial"/>
          <w:sz w:val="28"/>
          <w:szCs w:val="28"/>
        </w:rPr>
        <w:t>lled from one agency to another,</w:t>
      </w:r>
      <w:r w:rsidR="00474656">
        <w:rPr>
          <w:rFonts w:ascii="Arial" w:hAnsi="Arial" w:cs="Arial"/>
          <w:sz w:val="28"/>
          <w:szCs w:val="28"/>
        </w:rPr>
        <w:t xml:space="preserve"> with few </w:t>
      </w:r>
      <w:r>
        <w:rPr>
          <w:rFonts w:ascii="Arial" w:hAnsi="Arial" w:cs="Arial"/>
          <w:sz w:val="28"/>
          <w:szCs w:val="28"/>
        </w:rPr>
        <w:t xml:space="preserve">of these agencies </w:t>
      </w:r>
      <w:r w:rsidR="00474656">
        <w:rPr>
          <w:rFonts w:ascii="Arial" w:hAnsi="Arial" w:cs="Arial"/>
          <w:sz w:val="28"/>
          <w:szCs w:val="28"/>
        </w:rPr>
        <w:t>equipped or prepared to respond to any complexity.</w:t>
      </w:r>
      <w:r w:rsidR="00EA0742">
        <w:rPr>
          <w:rFonts w:ascii="Arial" w:hAnsi="Arial" w:cs="Arial"/>
          <w:sz w:val="28"/>
          <w:szCs w:val="28"/>
        </w:rPr>
        <w:t xml:space="preserve"> </w:t>
      </w:r>
    </w:p>
    <w:p w:rsidR="0052261C" w:rsidRDefault="0052261C" w:rsidP="00F329EC">
      <w:pPr>
        <w:spacing w:after="240" w:line="240" w:lineRule="auto"/>
        <w:ind w:right="-1"/>
        <w:rPr>
          <w:rFonts w:ascii="Arial" w:hAnsi="Arial" w:cs="Arial"/>
          <w:sz w:val="28"/>
          <w:szCs w:val="28"/>
        </w:rPr>
      </w:pPr>
      <w:r>
        <w:rPr>
          <w:rFonts w:ascii="Arial" w:hAnsi="Arial" w:cs="Arial"/>
          <w:sz w:val="28"/>
          <w:szCs w:val="28"/>
        </w:rPr>
        <w:t>The fact</w:t>
      </w:r>
      <w:r w:rsidR="000F7433">
        <w:rPr>
          <w:rFonts w:ascii="Arial" w:hAnsi="Arial" w:cs="Arial"/>
          <w:sz w:val="28"/>
          <w:szCs w:val="28"/>
        </w:rPr>
        <w:t xml:space="preserve"> that </w:t>
      </w:r>
      <w:r w:rsidR="00474656">
        <w:rPr>
          <w:rFonts w:ascii="Arial" w:hAnsi="Arial" w:cs="Arial"/>
          <w:sz w:val="28"/>
          <w:szCs w:val="28"/>
        </w:rPr>
        <w:t>these</w:t>
      </w:r>
      <w:r w:rsidR="000F7433">
        <w:rPr>
          <w:rFonts w:ascii="Arial" w:hAnsi="Arial" w:cs="Arial"/>
          <w:sz w:val="28"/>
          <w:szCs w:val="28"/>
        </w:rPr>
        <w:t xml:space="preserve"> </w:t>
      </w:r>
      <w:r w:rsidR="00474656">
        <w:rPr>
          <w:rFonts w:ascii="Arial" w:hAnsi="Arial" w:cs="Arial"/>
          <w:sz w:val="28"/>
          <w:szCs w:val="28"/>
        </w:rPr>
        <w:t xml:space="preserve">stories </w:t>
      </w:r>
      <w:r w:rsidR="00EA0742">
        <w:rPr>
          <w:rFonts w:ascii="Arial" w:hAnsi="Arial" w:cs="Arial"/>
          <w:i/>
          <w:sz w:val="28"/>
          <w:szCs w:val="28"/>
        </w:rPr>
        <w:t>do</w:t>
      </w:r>
      <w:r w:rsidR="00583590">
        <w:rPr>
          <w:rFonts w:ascii="Arial" w:hAnsi="Arial" w:cs="Arial"/>
          <w:sz w:val="28"/>
          <w:szCs w:val="28"/>
        </w:rPr>
        <w:t xml:space="preserve"> occur</w:t>
      </w:r>
      <w:r w:rsidR="00474656">
        <w:rPr>
          <w:rFonts w:ascii="Arial" w:hAnsi="Arial" w:cs="Arial"/>
          <w:sz w:val="28"/>
          <w:szCs w:val="28"/>
        </w:rPr>
        <w:t xml:space="preserve"> </w:t>
      </w:r>
      <w:r w:rsidR="00EA0742">
        <w:rPr>
          <w:rFonts w:ascii="Arial" w:hAnsi="Arial" w:cs="Arial"/>
          <w:sz w:val="28"/>
          <w:szCs w:val="28"/>
        </w:rPr>
        <w:t xml:space="preserve">must </w:t>
      </w:r>
      <w:r w:rsidR="00474656">
        <w:rPr>
          <w:rFonts w:ascii="Arial" w:hAnsi="Arial" w:cs="Arial"/>
          <w:sz w:val="28"/>
          <w:szCs w:val="28"/>
        </w:rPr>
        <w:t xml:space="preserve">therefore </w:t>
      </w:r>
      <w:r w:rsidR="00EA0742">
        <w:rPr>
          <w:rFonts w:ascii="Arial" w:hAnsi="Arial" w:cs="Arial"/>
          <w:sz w:val="28"/>
          <w:szCs w:val="28"/>
        </w:rPr>
        <w:t>be</w:t>
      </w:r>
      <w:r>
        <w:rPr>
          <w:rFonts w:ascii="Arial" w:hAnsi="Arial" w:cs="Arial"/>
          <w:sz w:val="28"/>
          <w:szCs w:val="28"/>
        </w:rPr>
        <w:t xml:space="preserve"> a reminder to policy makers that </w:t>
      </w:r>
      <w:r w:rsidR="00EA0742">
        <w:rPr>
          <w:rFonts w:ascii="Arial" w:hAnsi="Arial" w:cs="Arial"/>
          <w:sz w:val="28"/>
          <w:szCs w:val="28"/>
        </w:rPr>
        <w:t xml:space="preserve">service provision is not always enough; and </w:t>
      </w:r>
      <w:r w:rsidR="000F7433">
        <w:rPr>
          <w:rFonts w:ascii="Arial" w:hAnsi="Arial" w:cs="Arial"/>
          <w:sz w:val="28"/>
          <w:szCs w:val="28"/>
        </w:rPr>
        <w:t>that</w:t>
      </w:r>
      <w:r w:rsidR="00EA0742">
        <w:rPr>
          <w:rFonts w:ascii="Arial" w:hAnsi="Arial" w:cs="Arial"/>
          <w:sz w:val="28"/>
          <w:szCs w:val="28"/>
        </w:rPr>
        <w:t>, as Rose’s story illustrates,</w:t>
      </w:r>
      <w:r w:rsidR="000F7433">
        <w:rPr>
          <w:rFonts w:ascii="Arial" w:hAnsi="Arial" w:cs="Arial"/>
          <w:sz w:val="28"/>
          <w:szCs w:val="28"/>
        </w:rPr>
        <w:t xml:space="preserve"> </w:t>
      </w:r>
      <w:r>
        <w:rPr>
          <w:rFonts w:ascii="Arial" w:hAnsi="Arial" w:cs="Arial"/>
          <w:sz w:val="28"/>
          <w:szCs w:val="28"/>
        </w:rPr>
        <w:t xml:space="preserve">the consequences of service </w:t>
      </w:r>
      <w:r w:rsidRPr="0077087D">
        <w:rPr>
          <w:rFonts w:ascii="Arial" w:hAnsi="Arial" w:cs="Arial"/>
          <w:sz w:val="28"/>
          <w:szCs w:val="28"/>
        </w:rPr>
        <w:t>failure</w:t>
      </w:r>
      <w:r>
        <w:rPr>
          <w:rFonts w:ascii="Arial" w:hAnsi="Arial" w:cs="Arial"/>
          <w:sz w:val="28"/>
          <w:szCs w:val="28"/>
        </w:rPr>
        <w:t xml:space="preserve"> are very</w:t>
      </w:r>
      <w:r w:rsidR="000F7433">
        <w:rPr>
          <w:rFonts w:ascii="Arial" w:hAnsi="Arial" w:cs="Arial"/>
          <w:sz w:val="28"/>
          <w:szCs w:val="28"/>
        </w:rPr>
        <w:t>, very</w:t>
      </w:r>
      <w:r>
        <w:rPr>
          <w:rFonts w:ascii="Arial" w:hAnsi="Arial" w:cs="Arial"/>
          <w:sz w:val="28"/>
          <w:szCs w:val="28"/>
        </w:rPr>
        <w:t xml:space="preserve"> real. </w:t>
      </w:r>
    </w:p>
    <w:p w:rsidR="0048678D" w:rsidRDefault="00474656" w:rsidP="00F329EC">
      <w:pPr>
        <w:spacing w:after="240" w:line="240" w:lineRule="auto"/>
        <w:ind w:right="-1"/>
        <w:rPr>
          <w:rFonts w:ascii="Arial" w:hAnsi="Arial" w:cs="Arial"/>
          <w:sz w:val="28"/>
          <w:szCs w:val="28"/>
        </w:rPr>
      </w:pPr>
      <w:r>
        <w:rPr>
          <w:rFonts w:ascii="Arial" w:hAnsi="Arial" w:cs="Arial"/>
          <w:sz w:val="28"/>
          <w:szCs w:val="28"/>
        </w:rPr>
        <w:t>This means that a</w:t>
      </w:r>
      <w:r w:rsidR="0021034C">
        <w:rPr>
          <w:rFonts w:ascii="Arial" w:hAnsi="Arial" w:cs="Arial"/>
          <w:sz w:val="28"/>
          <w:szCs w:val="28"/>
        </w:rPr>
        <w:t>dvocacy</w:t>
      </w:r>
      <w:r>
        <w:rPr>
          <w:rFonts w:ascii="Arial" w:hAnsi="Arial" w:cs="Arial"/>
          <w:sz w:val="28"/>
          <w:szCs w:val="28"/>
        </w:rPr>
        <w:t xml:space="preserve"> is </w:t>
      </w:r>
      <w:r w:rsidR="0021034C">
        <w:rPr>
          <w:rFonts w:ascii="Arial" w:hAnsi="Arial" w:cs="Arial"/>
          <w:sz w:val="28"/>
          <w:szCs w:val="28"/>
        </w:rPr>
        <w:t>not just about individual cases, but about keeping these consequences firmly in the public eye</w:t>
      </w:r>
      <w:r w:rsidR="0048678D">
        <w:rPr>
          <w:rFonts w:ascii="Arial" w:hAnsi="Arial" w:cs="Arial"/>
          <w:sz w:val="28"/>
          <w:szCs w:val="28"/>
        </w:rPr>
        <w:t>, with t</w:t>
      </w:r>
      <w:r w:rsidR="0021034C">
        <w:rPr>
          <w:rFonts w:ascii="Arial" w:hAnsi="Arial" w:cs="Arial"/>
          <w:sz w:val="28"/>
          <w:szCs w:val="28"/>
        </w:rPr>
        <w:t>he outcomes achieve</w:t>
      </w:r>
      <w:r>
        <w:rPr>
          <w:rFonts w:ascii="Arial" w:hAnsi="Arial" w:cs="Arial"/>
          <w:sz w:val="28"/>
          <w:szCs w:val="28"/>
        </w:rPr>
        <w:t>d</w:t>
      </w:r>
      <w:r w:rsidR="0021034C">
        <w:rPr>
          <w:rFonts w:ascii="Arial" w:hAnsi="Arial" w:cs="Arial"/>
          <w:sz w:val="28"/>
          <w:szCs w:val="28"/>
        </w:rPr>
        <w:t xml:space="preserve"> in both </w:t>
      </w:r>
      <w:r w:rsidR="00B7514A">
        <w:rPr>
          <w:rFonts w:ascii="Arial" w:hAnsi="Arial" w:cs="Arial"/>
          <w:sz w:val="28"/>
          <w:szCs w:val="28"/>
        </w:rPr>
        <w:t xml:space="preserve">cases </w:t>
      </w:r>
      <w:r w:rsidR="002A6942">
        <w:rPr>
          <w:rFonts w:ascii="Arial" w:hAnsi="Arial" w:cs="Arial"/>
          <w:sz w:val="28"/>
          <w:szCs w:val="28"/>
        </w:rPr>
        <w:t xml:space="preserve">I’ve </w:t>
      </w:r>
      <w:r w:rsidR="00B7514A">
        <w:rPr>
          <w:rFonts w:ascii="Arial" w:hAnsi="Arial" w:cs="Arial"/>
          <w:sz w:val="28"/>
          <w:szCs w:val="28"/>
        </w:rPr>
        <w:t>described</w:t>
      </w:r>
      <w:r w:rsidR="0048678D">
        <w:rPr>
          <w:rFonts w:ascii="Arial" w:hAnsi="Arial" w:cs="Arial"/>
          <w:sz w:val="28"/>
          <w:szCs w:val="28"/>
        </w:rPr>
        <w:t xml:space="preserve"> </w:t>
      </w:r>
      <w:r w:rsidR="00EA12E5">
        <w:rPr>
          <w:rFonts w:ascii="Arial" w:hAnsi="Arial" w:cs="Arial"/>
          <w:sz w:val="28"/>
          <w:szCs w:val="28"/>
        </w:rPr>
        <w:t>hopefully</w:t>
      </w:r>
      <w:r>
        <w:rPr>
          <w:rFonts w:ascii="Arial" w:hAnsi="Arial" w:cs="Arial"/>
          <w:sz w:val="28"/>
          <w:szCs w:val="28"/>
        </w:rPr>
        <w:t xml:space="preserve"> to have</w:t>
      </w:r>
      <w:r w:rsidR="0021034C">
        <w:rPr>
          <w:rFonts w:ascii="Arial" w:hAnsi="Arial" w:cs="Arial"/>
          <w:sz w:val="28"/>
          <w:szCs w:val="28"/>
        </w:rPr>
        <w:t xml:space="preserve"> flow-on effects for other </w:t>
      </w:r>
      <w:r w:rsidR="009B7F15">
        <w:rPr>
          <w:rFonts w:ascii="Arial" w:hAnsi="Arial" w:cs="Arial"/>
          <w:sz w:val="28"/>
          <w:szCs w:val="28"/>
        </w:rPr>
        <w:t xml:space="preserve">vulnerable people with disability who are reliant on </w:t>
      </w:r>
      <w:r w:rsidR="0021034C">
        <w:rPr>
          <w:rFonts w:ascii="Arial" w:hAnsi="Arial" w:cs="Arial"/>
          <w:sz w:val="28"/>
          <w:szCs w:val="28"/>
        </w:rPr>
        <w:t>the services in question.</w:t>
      </w:r>
      <w:r w:rsidR="0077087D">
        <w:rPr>
          <w:rFonts w:ascii="Arial" w:hAnsi="Arial" w:cs="Arial"/>
          <w:sz w:val="28"/>
          <w:szCs w:val="28"/>
        </w:rPr>
        <w:t xml:space="preserve"> B</w:t>
      </w:r>
      <w:r w:rsidR="0021034C">
        <w:rPr>
          <w:rFonts w:ascii="Arial" w:hAnsi="Arial" w:cs="Arial"/>
          <w:sz w:val="28"/>
          <w:szCs w:val="28"/>
        </w:rPr>
        <w:t xml:space="preserve">y drawing attention to mistreatment or injustice for specific clients, </w:t>
      </w:r>
      <w:r w:rsidR="0048678D" w:rsidRPr="00B7514A">
        <w:rPr>
          <w:rFonts w:ascii="Arial" w:hAnsi="Arial" w:cs="Arial"/>
          <w:i/>
          <w:sz w:val="28"/>
          <w:szCs w:val="28"/>
        </w:rPr>
        <w:t>systemic</w:t>
      </w:r>
      <w:r w:rsidR="0048678D">
        <w:rPr>
          <w:rFonts w:ascii="Arial" w:hAnsi="Arial" w:cs="Arial"/>
          <w:sz w:val="28"/>
          <w:szCs w:val="28"/>
        </w:rPr>
        <w:t xml:space="preserve"> injustice is also exposed, </w:t>
      </w:r>
      <w:r w:rsidR="00B7514A">
        <w:rPr>
          <w:rFonts w:ascii="Arial" w:hAnsi="Arial" w:cs="Arial"/>
          <w:sz w:val="28"/>
          <w:szCs w:val="28"/>
        </w:rPr>
        <w:t xml:space="preserve">meaning that </w:t>
      </w:r>
      <w:r w:rsidR="0048678D">
        <w:rPr>
          <w:rFonts w:ascii="Arial" w:hAnsi="Arial" w:cs="Arial"/>
          <w:sz w:val="28"/>
          <w:szCs w:val="28"/>
        </w:rPr>
        <w:t>unacceptable</w:t>
      </w:r>
      <w:r w:rsidR="002A6942">
        <w:rPr>
          <w:rFonts w:ascii="Arial" w:hAnsi="Arial" w:cs="Arial"/>
          <w:sz w:val="28"/>
          <w:szCs w:val="28"/>
        </w:rPr>
        <w:t xml:space="preserve"> practices are </w:t>
      </w:r>
      <w:r w:rsidR="00236ACE">
        <w:rPr>
          <w:rFonts w:ascii="Arial" w:hAnsi="Arial" w:cs="Arial"/>
          <w:sz w:val="28"/>
          <w:szCs w:val="28"/>
        </w:rPr>
        <w:t>hopefully minimise</w:t>
      </w:r>
      <w:r w:rsidR="009B7F15">
        <w:rPr>
          <w:rFonts w:ascii="Arial" w:hAnsi="Arial" w:cs="Arial"/>
          <w:sz w:val="28"/>
          <w:szCs w:val="28"/>
        </w:rPr>
        <w:t>d</w:t>
      </w:r>
      <w:r w:rsidR="00236ACE">
        <w:rPr>
          <w:rFonts w:ascii="Arial" w:hAnsi="Arial" w:cs="Arial"/>
          <w:sz w:val="28"/>
          <w:szCs w:val="28"/>
        </w:rPr>
        <w:t xml:space="preserve"> or </w:t>
      </w:r>
      <w:r w:rsidR="002A6942">
        <w:rPr>
          <w:rFonts w:ascii="Arial" w:hAnsi="Arial" w:cs="Arial"/>
          <w:sz w:val="28"/>
          <w:szCs w:val="28"/>
        </w:rPr>
        <w:t>discontinued, with</w:t>
      </w:r>
      <w:r w:rsidR="0048678D">
        <w:rPr>
          <w:rFonts w:ascii="Arial" w:hAnsi="Arial" w:cs="Arial"/>
          <w:sz w:val="28"/>
          <w:szCs w:val="28"/>
        </w:rPr>
        <w:t xml:space="preserve"> risk</w:t>
      </w:r>
      <w:r w:rsidR="002A6942">
        <w:rPr>
          <w:rFonts w:ascii="Arial" w:hAnsi="Arial" w:cs="Arial"/>
          <w:sz w:val="28"/>
          <w:szCs w:val="28"/>
        </w:rPr>
        <w:t>s for service providers also</w:t>
      </w:r>
      <w:r w:rsidR="0048678D">
        <w:rPr>
          <w:rFonts w:ascii="Arial" w:hAnsi="Arial" w:cs="Arial"/>
          <w:sz w:val="28"/>
          <w:szCs w:val="28"/>
        </w:rPr>
        <w:t xml:space="preserve"> negated. </w:t>
      </w:r>
    </w:p>
    <w:p w:rsidR="0048678D" w:rsidRDefault="0077087D" w:rsidP="00F329EC">
      <w:pPr>
        <w:spacing w:after="240" w:line="240" w:lineRule="auto"/>
        <w:ind w:right="-1"/>
        <w:rPr>
          <w:rFonts w:ascii="Arial" w:hAnsi="Arial" w:cs="Arial"/>
          <w:sz w:val="28"/>
          <w:szCs w:val="28"/>
        </w:rPr>
      </w:pPr>
      <w:r>
        <w:rPr>
          <w:rFonts w:ascii="Arial" w:hAnsi="Arial" w:cs="Arial"/>
          <w:sz w:val="28"/>
          <w:szCs w:val="28"/>
        </w:rPr>
        <w:t>In other words,</w:t>
      </w:r>
      <w:r w:rsidR="0048678D">
        <w:rPr>
          <w:rFonts w:ascii="Arial" w:hAnsi="Arial" w:cs="Arial"/>
          <w:sz w:val="28"/>
          <w:szCs w:val="28"/>
        </w:rPr>
        <w:t xml:space="preserve"> advocacy is about mutual benefits. </w:t>
      </w:r>
      <w:r>
        <w:rPr>
          <w:rFonts w:ascii="Arial" w:hAnsi="Arial" w:cs="Arial"/>
          <w:sz w:val="28"/>
          <w:szCs w:val="28"/>
        </w:rPr>
        <w:t xml:space="preserve">Certainly, no-one heading up a service agency, whether </w:t>
      </w:r>
      <w:r w:rsidR="0048678D">
        <w:rPr>
          <w:rFonts w:ascii="Arial" w:hAnsi="Arial" w:cs="Arial"/>
          <w:sz w:val="28"/>
          <w:szCs w:val="28"/>
        </w:rPr>
        <w:t>government or non-government, wan</w:t>
      </w:r>
      <w:r>
        <w:rPr>
          <w:rFonts w:ascii="Arial" w:hAnsi="Arial" w:cs="Arial"/>
          <w:sz w:val="28"/>
          <w:szCs w:val="28"/>
        </w:rPr>
        <w:t>ts abuse or neglect to occur on their watch</w:t>
      </w:r>
      <w:r w:rsidR="0048678D">
        <w:rPr>
          <w:rFonts w:ascii="Arial" w:hAnsi="Arial" w:cs="Arial"/>
          <w:sz w:val="28"/>
          <w:szCs w:val="28"/>
        </w:rPr>
        <w:t xml:space="preserve">. Yet too </w:t>
      </w:r>
      <w:r w:rsidR="0048678D">
        <w:rPr>
          <w:rFonts w:ascii="Arial" w:hAnsi="Arial" w:cs="Arial"/>
          <w:sz w:val="28"/>
          <w:szCs w:val="28"/>
        </w:rPr>
        <w:lastRenderedPageBreak/>
        <w:t xml:space="preserve">often the various parties involved </w:t>
      </w:r>
      <w:r>
        <w:rPr>
          <w:rFonts w:ascii="Arial" w:hAnsi="Arial" w:cs="Arial"/>
          <w:sz w:val="28"/>
          <w:szCs w:val="28"/>
        </w:rPr>
        <w:t xml:space="preserve">– from policy makers </w:t>
      </w:r>
      <w:r w:rsidR="00B7514A">
        <w:rPr>
          <w:rFonts w:ascii="Arial" w:hAnsi="Arial" w:cs="Arial"/>
          <w:sz w:val="28"/>
          <w:szCs w:val="28"/>
        </w:rPr>
        <w:t xml:space="preserve">to advocates </w:t>
      </w:r>
      <w:r>
        <w:rPr>
          <w:rFonts w:ascii="Arial" w:hAnsi="Arial" w:cs="Arial"/>
          <w:sz w:val="28"/>
          <w:szCs w:val="28"/>
        </w:rPr>
        <w:t xml:space="preserve">to </w:t>
      </w:r>
      <w:r w:rsidR="00B7514A">
        <w:rPr>
          <w:rFonts w:ascii="Arial" w:hAnsi="Arial" w:cs="Arial"/>
          <w:sz w:val="28"/>
          <w:szCs w:val="28"/>
        </w:rPr>
        <w:t xml:space="preserve">front </w:t>
      </w:r>
      <w:r w:rsidR="000466F7">
        <w:rPr>
          <w:rFonts w:ascii="Arial" w:hAnsi="Arial" w:cs="Arial"/>
          <w:sz w:val="28"/>
          <w:szCs w:val="28"/>
        </w:rPr>
        <w:t>line service</w:t>
      </w:r>
      <w:r>
        <w:rPr>
          <w:rFonts w:ascii="Arial" w:hAnsi="Arial" w:cs="Arial"/>
          <w:sz w:val="28"/>
          <w:szCs w:val="28"/>
        </w:rPr>
        <w:t xml:space="preserve"> - </w:t>
      </w:r>
      <w:r w:rsidR="0048678D">
        <w:rPr>
          <w:rFonts w:ascii="Arial" w:hAnsi="Arial" w:cs="Arial"/>
          <w:sz w:val="28"/>
          <w:szCs w:val="28"/>
        </w:rPr>
        <w:t xml:space="preserve">work as if in opposition to each other. We must remind ourselves, then, that we </w:t>
      </w:r>
      <w:r w:rsidR="0048678D">
        <w:rPr>
          <w:rFonts w:ascii="Arial" w:hAnsi="Arial" w:cs="Arial"/>
          <w:i/>
          <w:sz w:val="28"/>
          <w:szCs w:val="28"/>
        </w:rPr>
        <w:t xml:space="preserve">all </w:t>
      </w:r>
      <w:r w:rsidR="0048678D">
        <w:rPr>
          <w:rFonts w:ascii="Arial" w:hAnsi="Arial" w:cs="Arial"/>
          <w:sz w:val="28"/>
          <w:szCs w:val="28"/>
        </w:rPr>
        <w:t xml:space="preserve">share an interest in </w:t>
      </w:r>
      <w:r w:rsidR="005271FF">
        <w:rPr>
          <w:rFonts w:ascii="Arial" w:hAnsi="Arial" w:cs="Arial"/>
          <w:sz w:val="28"/>
          <w:szCs w:val="28"/>
        </w:rPr>
        <w:t>minimising incidences of vulnerable people being abused, neglected and degraded of their humanity.</w:t>
      </w:r>
      <w:r w:rsidR="0048678D">
        <w:rPr>
          <w:rFonts w:ascii="Arial" w:hAnsi="Arial" w:cs="Arial"/>
          <w:sz w:val="28"/>
          <w:szCs w:val="28"/>
        </w:rPr>
        <w:t xml:space="preserve"> </w:t>
      </w:r>
      <w:r>
        <w:rPr>
          <w:rFonts w:ascii="Arial" w:hAnsi="Arial" w:cs="Arial"/>
          <w:sz w:val="28"/>
          <w:szCs w:val="28"/>
        </w:rPr>
        <w:t>U</w:t>
      </w:r>
      <w:r w:rsidR="00645A58">
        <w:rPr>
          <w:rFonts w:ascii="Arial" w:hAnsi="Arial" w:cs="Arial"/>
          <w:sz w:val="28"/>
          <w:szCs w:val="28"/>
        </w:rPr>
        <w:t xml:space="preserve">ntil we </w:t>
      </w:r>
      <w:r>
        <w:rPr>
          <w:rFonts w:ascii="Arial" w:hAnsi="Arial" w:cs="Arial"/>
          <w:sz w:val="28"/>
          <w:szCs w:val="28"/>
        </w:rPr>
        <w:t xml:space="preserve">tackle </w:t>
      </w:r>
      <w:r w:rsidR="00645A58">
        <w:rPr>
          <w:rFonts w:ascii="Arial" w:hAnsi="Arial" w:cs="Arial"/>
          <w:sz w:val="28"/>
          <w:szCs w:val="28"/>
        </w:rPr>
        <w:t xml:space="preserve">the disabling effects of </w:t>
      </w:r>
      <w:r>
        <w:rPr>
          <w:rFonts w:ascii="Arial" w:hAnsi="Arial" w:cs="Arial"/>
          <w:sz w:val="28"/>
          <w:szCs w:val="28"/>
        </w:rPr>
        <w:t>structural and systemic disadvantage, however</w:t>
      </w:r>
      <w:r w:rsidR="00645A58">
        <w:rPr>
          <w:rFonts w:ascii="Arial" w:hAnsi="Arial" w:cs="Arial"/>
          <w:sz w:val="28"/>
          <w:szCs w:val="28"/>
        </w:rPr>
        <w:t>, stories like Rose’s will continue to occur</w:t>
      </w:r>
      <w:r>
        <w:rPr>
          <w:rFonts w:ascii="Arial" w:hAnsi="Arial" w:cs="Arial"/>
          <w:sz w:val="28"/>
          <w:szCs w:val="28"/>
        </w:rPr>
        <w:t>.</w:t>
      </w:r>
    </w:p>
    <w:p w:rsidR="00EA0742" w:rsidRPr="00F329EC" w:rsidRDefault="00645A58" w:rsidP="00F329EC">
      <w:pPr>
        <w:pStyle w:val="Heading1"/>
        <w:spacing w:before="240" w:after="240"/>
      </w:pPr>
      <w:r w:rsidRPr="00F329EC">
        <w:t>Disabling structures and the insurmountable hill</w:t>
      </w:r>
    </w:p>
    <w:p w:rsidR="00EA0742" w:rsidRDefault="00B270B8" w:rsidP="00F329EC">
      <w:pPr>
        <w:spacing w:after="240" w:line="240" w:lineRule="auto"/>
        <w:ind w:right="-1"/>
        <w:rPr>
          <w:rFonts w:ascii="Arial" w:eastAsia="Times New Roman" w:hAnsi="Arial" w:cs="Arial"/>
          <w:color w:val="000000"/>
          <w:sz w:val="28"/>
          <w:szCs w:val="28"/>
          <w:lang w:eastAsia="en-AU"/>
        </w:rPr>
      </w:pPr>
      <w:r>
        <w:rPr>
          <w:rFonts w:ascii="Arial" w:eastAsia="Times New Roman" w:hAnsi="Arial" w:cs="Arial"/>
          <w:color w:val="000000"/>
          <w:sz w:val="28"/>
          <w:szCs w:val="28"/>
          <w:lang w:eastAsia="en-AU"/>
        </w:rPr>
        <w:t>In particular</w:t>
      </w:r>
      <w:r w:rsidR="00645A58">
        <w:rPr>
          <w:rFonts w:ascii="Arial" w:eastAsia="Times New Roman" w:hAnsi="Arial" w:cs="Arial"/>
          <w:color w:val="000000"/>
          <w:sz w:val="28"/>
          <w:szCs w:val="28"/>
          <w:lang w:eastAsia="en-AU"/>
        </w:rPr>
        <w:t xml:space="preserve">, we all know that Australians with disability experience disproportionate rates of physical violence and abuse. </w:t>
      </w:r>
      <w:r w:rsidR="0077087D">
        <w:rPr>
          <w:rFonts w:ascii="Arial" w:eastAsia="Times New Roman" w:hAnsi="Arial" w:cs="Arial"/>
          <w:color w:val="000000"/>
          <w:sz w:val="28"/>
          <w:szCs w:val="28"/>
          <w:lang w:eastAsia="en-AU"/>
        </w:rPr>
        <w:t>To co</w:t>
      </w:r>
      <w:r w:rsidR="002A14D6">
        <w:rPr>
          <w:rFonts w:ascii="Arial" w:eastAsia="Times New Roman" w:hAnsi="Arial" w:cs="Arial"/>
          <w:color w:val="000000"/>
          <w:sz w:val="28"/>
          <w:szCs w:val="28"/>
          <w:lang w:eastAsia="en-AU"/>
        </w:rPr>
        <w:t xml:space="preserve">mpound this, </w:t>
      </w:r>
      <w:r w:rsidR="0077087D">
        <w:rPr>
          <w:rFonts w:ascii="Arial" w:eastAsia="Times New Roman" w:hAnsi="Arial" w:cs="Arial"/>
          <w:color w:val="000000"/>
          <w:sz w:val="28"/>
          <w:szCs w:val="28"/>
          <w:lang w:eastAsia="en-AU"/>
        </w:rPr>
        <w:t>when this violence occurs, often victims</w:t>
      </w:r>
      <w:r w:rsidR="00645A58">
        <w:rPr>
          <w:rFonts w:ascii="Arial" w:eastAsia="Times New Roman" w:hAnsi="Arial" w:cs="Arial"/>
          <w:color w:val="000000"/>
          <w:sz w:val="28"/>
          <w:szCs w:val="28"/>
          <w:lang w:eastAsia="en-AU"/>
        </w:rPr>
        <w:t xml:space="preserve"> are d</w:t>
      </w:r>
      <w:r w:rsidR="00EA0742">
        <w:rPr>
          <w:rFonts w:ascii="Arial" w:eastAsia="Times New Roman" w:hAnsi="Arial" w:cs="Arial"/>
          <w:color w:val="000000"/>
          <w:sz w:val="28"/>
          <w:szCs w:val="28"/>
          <w:lang w:eastAsia="en-AU"/>
        </w:rPr>
        <w:t>isbelieved or discredited; de</w:t>
      </w:r>
      <w:r w:rsidR="002A14D6">
        <w:rPr>
          <w:rFonts w:ascii="Arial" w:eastAsia="Times New Roman" w:hAnsi="Arial" w:cs="Arial"/>
          <w:color w:val="000000"/>
          <w:sz w:val="28"/>
          <w:szCs w:val="28"/>
          <w:lang w:eastAsia="en-AU"/>
        </w:rPr>
        <w:t xml:space="preserve">nied appropriate </w:t>
      </w:r>
      <w:r w:rsidR="00EA0742">
        <w:rPr>
          <w:rFonts w:ascii="Arial" w:eastAsia="Times New Roman" w:hAnsi="Arial" w:cs="Arial"/>
          <w:color w:val="000000"/>
          <w:sz w:val="28"/>
          <w:szCs w:val="28"/>
          <w:lang w:eastAsia="en-AU"/>
        </w:rPr>
        <w:t xml:space="preserve">support; perhaps unable </w:t>
      </w:r>
      <w:r w:rsidR="0077087D">
        <w:rPr>
          <w:rFonts w:ascii="Arial" w:eastAsia="Times New Roman" w:hAnsi="Arial" w:cs="Arial"/>
          <w:color w:val="000000"/>
          <w:sz w:val="28"/>
          <w:szCs w:val="28"/>
          <w:lang w:eastAsia="en-AU"/>
        </w:rPr>
        <w:t>to convey their version of events</w:t>
      </w:r>
      <w:r w:rsidR="00645A58">
        <w:rPr>
          <w:rFonts w:ascii="Arial" w:eastAsia="Times New Roman" w:hAnsi="Arial" w:cs="Arial"/>
          <w:color w:val="000000"/>
          <w:sz w:val="28"/>
          <w:szCs w:val="28"/>
          <w:lang w:eastAsia="en-AU"/>
        </w:rPr>
        <w:t>, like Rose</w:t>
      </w:r>
      <w:r w:rsidR="00EA0742">
        <w:rPr>
          <w:rFonts w:ascii="Arial" w:eastAsia="Times New Roman" w:hAnsi="Arial" w:cs="Arial"/>
          <w:color w:val="000000"/>
          <w:sz w:val="28"/>
          <w:szCs w:val="28"/>
          <w:lang w:eastAsia="en-AU"/>
        </w:rPr>
        <w:t xml:space="preserve">; or </w:t>
      </w:r>
      <w:r w:rsidR="002A14D6">
        <w:rPr>
          <w:rFonts w:ascii="Arial" w:eastAsia="Times New Roman" w:hAnsi="Arial" w:cs="Arial"/>
          <w:color w:val="000000"/>
          <w:sz w:val="28"/>
          <w:szCs w:val="28"/>
          <w:lang w:eastAsia="en-AU"/>
        </w:rPr>
        <w:t xml:space="preserve">are </w:t>
      </w:r>
      <w:r w:rsidR="00EA0742">
        <w:rPr>
          <w:rFonts w:ascii="Arial" w:eastAsia="Times New Roman" w:hAnsi="Arial" w:cs="Arial"/>
          <w:color w:val="000000"/>
          <w:sz w:val="28"/>
          <w:szCs w:val="28"/>
          <w:lang w:eastAsia="en-AU"/>
        </w:rPr>
        <w:t xml:space="preserve">dependent upon their offender for material or financial assistance. </w:t>
      </w:r>
    </w:p>
    <w:p w:rsidR="00EA0742" w:rsidRDefault="00EA0742" w:rsidP="00F329EC">
      <w:pPr>
        <w:spacing w:after="240" w:line="240" w:lineRule="auto"/>
        <w:ind w:right="-1"/>
        <w:rPr>
          <w:rFonts w:ascii="Arial" w:hAnsi="Arial" w:cs="Arial"/>
          <w:sz w:val="28"/>
          <w:szCs w:val="28"/>
        </w:rPr>
      </w:pPr>
      <w:r>
        <w:rPr>
          <w:rFonts w:ascii="Arial" w:hAnsi="Arial" w:cs="Arial"/>
          <w:sz w:val="28"/>
          <w:szCs w:val="28"/>
        </w:rPr>
        <w:t xml:space="preserve">In a </w:t>
      </w:r>
      <w:r w:rsidR="002A14D6">
        <w:rPr>
          <w:rFonts w:ascii="Arial" w:hAnsi="Arial" w:cs="Arial"/>
          <w:sz w:val="28"/>
          <w:szCs w:val="28"/>
        </w:rPr>
        <w:t xml:space="preserve">disturbing example, </w:t>
      </w:r>
      <w:r w:rsidRPr="003273FA">
        <w:rPr>
          <w:rFonts w:ascii="Arial" w:hAnsi="Arial" w:cs="Arial"/>
          <w:sz w:val="28"/>
          <w:szCs w:val="28"/>
        </w:rPr>
        <w:t xml:space="preserve">staff </w:t>
      </w:r>
      <w:r>
        <w:rPr>
          <w:rFonts w:ascii="Arial" w:hAnsi="Arial" w:cs="Arial"/>
          <w:sz w:val="28"/>
          <w:szCs w:val="28"/>
        </w:rPr>
        <w:t xml:space="preserve">members </w:t>
      </w:r>
      <w:r w:rsidRPr="003273FA">
        <w:rPr>
          <w:rFonts w:ascii="Arial" w:hAnsi="Arial" w:cs="Arial"/>
          <w:sz w:val="28"/>
          <w:szCs w:val="28"/>
        </w:rPr>
        <w:t xml:space="preserve">of a Queensland Independent Living facility were found guilty </w:t>
      </w:r>
      <w:r w:rsidR="002A14D6">
        <w:rPr>
          <w:rFonts w:ascii="Arial" w:hAnsi="Arial" w:cs="Arial"/>
          <w:sz w:val="28"/>
          <w:szCs w:val="28"/>
        </w:rPr>
        <w:t xml:space="preserve">in 2009 </w:t>
      </w:r>
      <w:r w:rsidRPr="003273FA">
        <w:rPr>
          <w:rFonts w:ascii="Arial" w:hAnsi="Arial" w:cs="Arial"/>
          <w:sz w:val="28"/>
          <w:szCs w:val="28"/>
        </w:rPr>
        <w:t xml:space="preserve">of assaulting and depriving children </w:t>
      </w:r>
      <w:r w:rsidR="003E011D">
        <w:rPr>
          <w:rFonts w:ascii="Arial" w:hAnsi="Arial" w:cs="Arial"/>
          <w:sz w:val="28"/>
          <w:szCs w:val="28"/>
        </w:rPr>
        <w:t xml:space="preserve">and adults </w:t>
      </w:r>
      <w:r w:rsidR="00955D27">
        <w:rPr>
          <w:rFonts w:ascii="Arial" w:hAnsi="Arial" w:cs="Arial"/>
          <w:sz w:val="28"/>
          <w:szCs w:val="28"/>
        </w:rPr>
        <w:t xml:space="preserve">with disability </w:t>
      </w:r>
      <w:r w:rsidRPr="003273FA">
        <w:rPr>
          <w:rFonts w:ascii="Arial" w:hAnsi="Arial" w:cs="Arial"/>
          <w:sz w:val="28"/>
          <w:szCs w:val="28"/>
        </w:rPr>
        <w:t>of their liberty.</w:t>
      </w:r>
      <w:r>
        <w:rPr>
          <w:rFonts w:ascii="Arial" w:hAnsi="Arial" w:cs="Arial"/>
          <w:sz w:val="28"/>
          <w:szCs w:val="28"/>
        </w:rPr>
        <w:t xml:space="preserve"> Common practices </w:t>
      </w:r>
      <w:r w:rsidRPr="001D3E78">
        <w:rPr>
          <w:rFonts w:ascii="Arial" w:hAnsi="Arial" w:cs="Arial"/>
          <w:sz w:val="28"/>
          <w:szCs w:val="28"/>
        </w:rPr>
        <w:t>included tying children to the toilet;</w:t>
      </w:r>
      <w:r>
        <w:rPr>
          <w:rFonts w:ascii="Arial" w:hAnsi="Arial" w:cs="Arial"/>
          <w:sz w:val="28"/>
          <w:szCs w:val="28"/>
        </w:rPr>
        <w:t xml:space="preserve"> rubbing chilli in their mouths;</w:t>
      </w:r>
      <w:r w:rsidRPr="001D3E78">
        <w:rPr>
          <w:rFonts w:ascii="Arial" w:hAnsi="Arial" w:cs="Arial"/>
          <w:sz w:val="28"/>
          <w:szCs w:val="28"/>
        </w:rPr>
        <w:t xml:space="preserve"> beating them with fly swatter</w:t>
      </w:r>
      <w:r>
        <w:rPr>
          <w:rFonts w:ascii="Arial" w:hAnsi="Arial" w:cs="Arial"/>
          <w:sz w:val="28"/>
          <w:szCs w:val="28"/>
        </w:rPr>
        <w:t>s;</w:t>
      </w:r>
      <w:r w:rsidRPr="001D3E78">
        <w:rPr>
          <w:rFonts w:ascii="Arial" w:hAnsi="Arial" w:cs="Arial"/>
          <w:sz w:val="28"/>
          <w:szCs w:val="28"/>
        </w:rPr>
        <w:t xml:space="preserve"> </w:t>
      </w:r>
      <w:r>
        <w:rPr>
          <w:rFonts w:ascii="Arial" w:hAnsi="Arial" w:cs="Arial"/>
          <w:sz w:val="28"/>
          <w:szCs w:val="28"/>
        </w:rPr>
        <w:t>removing</w:t>
      </w:r>
      <w:r w:rsidRPr="001D3E78">
        <w:rPr>
          <w:rFonts w:ascii="Arial" w:hAnsi="Arial" w:cs="Arial"/>
          <w:sz w:val="28"/>
          <w:szCs w:val="28"/>
        </w:rPr>
        <w:t xml:space="preserve"> prosthetic limb</w:t>
      </w:r>
      <w:r>
        <w:rPr>
          <w:rFonts w:ascii="Arial" w:hAnsi="Arial" w:cs="Arial"/>
          <w:sz w:val="28"/>
          <w:szCs w:val="28"/>
        </w:rPr>
        <w:t>s;</w:t>
      </w:r>
      <w:r w:rsidRPr="001D3E78">
        <w:rPr>
          <w:rFonts w:ascii="Arial" w:hAnsi="Arial" w:cs="Arial"/>
          <w:sz w:val="28"/>
          <w:szCs w:val="28"/>
        </w:rPr>
        <w:t xml:space="preserve"> washing out resident's mouths with soap; </w:t>
      </w:r>
      <w:r>
        <w:rPr>
          <w:rFonts w:ascii="Arial" w:hAnsi="Arial" w:cs="Arial"/>
          <w:sz w:val="28"/>
          <w:szCs w:val="28"/>
        </w:rPr>
        <w:t>hitting, humiliating and pulling hair</w:t>
      </w:r>
      <w:r w:rsidRPr="001D3E78">
        <w:rPr>
          <w:rFonts w:ascii="Arial" w:hAnsi="Arial" w:cs="Arial"/>
          <w:sz w:val="28"/>
          <w:szCs w:val="28"/>
        </w:rPr>
        <w:t xml:space="preserve">. </w:t>
      </w:r>
      <w:r>
        <w:rPr>
          <w:rFonts w:ascii="Arial" w:hAnsi="Arial" w:cs="Arial"/>
          <w:sz w:val="28"/>
          <w:szCs w:val="28"/>
        </w:rPr>
        <w:t xml:space="preserve">Upon </w:t>
      </w:r>
      <w:r w:rsidRPr="001D3E78">
        <w:rPr>
          <w:rFonts w:ascii="Arial" w:hAnsi="Arial" w:cs="Arial"/>
          <w:sz w:val="28"/>
          <w:szCs w:val="28"/>
        </w:rPr>
        <w:t>sentencing</w:t>
      </w:r>
      <w:r>
        <w:rPr>
          <w:rFonts w:ascii="Arial" w:hAnsi="Arial" w:cs="Arial"/>
          <w:sz w:val="28"/>
          <w:szCs w:val="28"/>
        </w:rPr>
        <w:t xml:space="preserve"> one of the former staff, </w:t>
      </w:r>
      <w:r w:rsidRPr="001D3E78">
        <w:rPr>
          <w:rFonts w:ascii="Arial" w:hAnsi="Arial" w:cs="Arial"/>
          <w:sz w:val="28"/>
          <w:szCs w:val="28"/>
        </w:rPr>
        <w:t xml:space="preserve">the judge </w:t>
      </w:r>
      <w:r>
        <w:rPr>
          <w:rFonts w:ascii="Arial" w:hAnsi="Arial" w:cs="Arial"/>
          <w:sz w:val="28"/>
          <w:szCs w:val="28"/>
        </w:rPr>
        <w:t>noted that a</w:t>
      </w:r>
      <w:r w:rsidRPr="001D3E78">
        <w:rPr>
          <w:rFonts w:ascii="Arial" w:hAnsi="Arial" w:cs="Arial"/>
          <w:sz w:val="28"/>
          <w:szCs w:val="28"/>
        </w:rPr>
        <w:t xml:space="preserve"> </w:t>
      </w:r>
      <w:r w:rsidRPr="003273FA">
        <w:rPr>
          <w:rFonts w:ascii="Arial" w:hAnsi="Arial" w:cs="Arial"/>
          <w:sz w:val="28"/>
          <w:szCs w:val="28"/>
        </w:rPr>
        <w:t>culture of abuse</w:t>
      </w:r>
      <w:r>
        <w:rPr>
          <w:rFonts w:ascii="Arial" w:hAnsi="Arial" w:cs="Arial"/>
          <w:sz w:val="28"/>
          <w:szCs w:val="28"/>
        </w:rPr>
        <w:t xml:space="preserve"> flourished in the facility and</w:t>
      </w:r>
      <w:r w:rsidRPr="001D3E78">
        <w:rPr>
          <w:rFonts w:ascii="Arial" w:hAnsi="Arial" w:cs="Arial"/>
          <w:sz w:val="28"/>
          <w:szCs w:val="28"/>
        </w:rPr>
        <w:t xml:space="preserve"> </w:t>
      </w:r>
      <w:r w:rsidRPr="001D3E78">
        <w:rPr>
          <w:rFonts w:ascii="Arial" w:hAnsi="Arial" w:cs="Arial"/>
          <w:i/>
          <w:sz w:val="28"/>
          <w:szCs w:val="28"/>
        </w:rPr>
        <w:t>‘</w:t>
      </w:r>
      <w:r w:rsidRPr="00CE6743">
        <w:rPr>
          <w:rFonts w:ascii="Arial" w:hAnsi="Arial" w:cs="Arial"/>
          <w:sz w:val="28"/>
          <w:szCs w:val="28"/>
        </w:rPr>
        <w:t>permeated from the top down</w:t>
      </w:r>
      <w:r w:rsidRPr="001D3E78">
        <w:rPr>
          <w:rFonts w:ascii="Arial" w:hAnsi="Arial" w:cs="Arial"/>
          <w:i/>
          <w:sz w:val="28"/>
          <w:szCs w:val="28"/>
        </w:rPr>
        <w:t>’</w:t>
      </w:r>
      <w:r w:rsidRPr="001D3E78">
        <w:rPr>
          <w:rFonts w:ascii="Arial" w:hAnsi="Arial" w:cs="Arial"/>
          <w:sz w:val="28"/>
          <w:szCs w:val="28"/>
        </w:rPr>
        <w:t xml:space="preserve">. </w:t>
      </w:r>
    </w:p>
    <w:p w:rsidR="00B17773" w:rsidRDefault="00EA0742" w:rsidP="00F329EC">
      <w:pPr>
        <w:spacing w:after="240" w:line="240" w:lineRule="auto"/>
        <w:ind w:right="-1"/>
        <w:rPr>
          <w:rStyle w:val="Hyperlink"/>
        </w:rPr>
      </w:pPr>
      <w:r>
        <w:rPr>
          <w:rFonts w:ascii="Arial" w:eastAsia="Times New Roman" w:hAnsi="Arial" w:cs="Arial"/>
          <w:color w:val="000000"/>
          <w:sz w:val="28"/>
          <w:szCs w:val="28"/>
          <w:lang w:eastAsia="en-AU"/>
        </w:rPr>
        <w:t>The</w:t>
      </w:r>
      <w:r w:rsidR="000466F7">
        <w:rPr>
          <w:rFonts w:ascii="Arial" w:eastAsia="Times New Roman" w:hAnsi="Arial" w:cs="Arial"/>
          <w:color w:val="000000"/>
          <w:sz w:val="28"/>
          <w:szCs w:val="28"/>
          <w:lang w:eastAsia="en-AU"/>
        </w:rPr>
        <w:t xml:space="preserve"> assumption behind this </w:t>
      </w:r>
      <w:r>
        <w:rPr>
          <w:rFonts w:ascii="Arial" w:eastAsia="Times New Roman" w:hAnsi="Arial" w:cs="Arial"/>
          <w:color w:val="000000"/>
          <w:sz w:val="28"/>
          <w:szCs w:val="28"/>
          <w:lang w:eastAsia="en-AU"/>
        </w:rPr>
        <w:t>culture could arguably be that experiencing abuse is in</w:t>
      </w:r>
      <w:r>
        <w:rPr>
          <w:rFonts w:ascii="Arial" w:hAnsi="Arial" w:cs="Arial"/>
          <w:sz w:val="28"/>
          <w:szCs w:val="28"/>
        </w:rPr>
        <w:t>herent to the condition of disability</w:t>
      </w:r>
      <w:r w:rsidRPr="00047540">
        <w:rPr>
          <w:rFonts w:ascii="Arial" w:hAnsi="Arial" w:cs="Arial"/>
          <w:sz w:val="28"/>
          <w:szCs w:val="28"/>
        </w:rPr>
        <w:t>.</w:t>
      </w:r>
      <w:r w:rsidR="00660194">
        <w:rPr>
          <w:rStyle w:val="FootnoteReference"/>
          <w:rFonts w:ascii="Arial" w:hAnsi="Arial" w:cs="Arial"/>
          <w:sz w:val="28"/>
          <w:szCs w:val="28"/>
        </w:rPr>
        <w:footnoteReference w:id="2"/>
      </w:r>
    </w:p>
    <w:p w:rsidR="00EA0742" w:rsidRDefault="00EA0742" w:rsidP="00F329EC">
      <w:pPr>
        <w:spacing w:after="240" w:line="240" w:lineRule="auto"/>
        <w:ind w:right="-1"/>
        <w:rPr>
          <w:rFonts w:ascii="Arial" w:hAnsi="Arial" w:cs="Arial"/>
          <w:sz w:val="28"/>
          <w:szCs w:val="28"/>
        </w:rPr>
      </w:pPr>
      <w:r>
        <w:rPr>
          <w:rFonts w:ascii="Arial" w:hAnsi="Arial" w:cs="Arial"/>
          <w:sz w:val="28"/>
          <w:szCs w:val="28"/>
        </w:rPr>
        <w:t xml:space="preserve">In this way, behaviours considered </w:t>
      </w:r>
      <w:r w:rsidRPr="00047540">
        <w:rPr>
          <w:rFonts w:ascii="Arial" w:hAnsi="Arial" w:cs="Arial"/>
          <w:sz w:val="28"/>
          <w:szCs w:val="28"/>
        </w:rPr>
        <w:t xml:space="preserve">a violation of rights </w:t>
      </w:r>
      <w:r>
        <w:rPr>
          <w:rFonts w:ascii="Arial" w:hAnsi="Arial" w:cs="Arial"/>
          <w:sz w:val="28"/>
          <w:szCs w:val="28"/>
        </w:rPr>
        <w:t>in an able bodied person - enforced i</w:t>
      </w:r>
      <w:r w:rsidRPr="00047540">
        <w:rPr>
          <w:rFonts w:ascii="Arial" w:hAnsi="Arial" w:cs="Arial"/>
          <w:sz w:val="28"/>
          <w:szCs w:val="28"/>
        </w:rPr>
        <w:t xml:space="preserve">solation, </w:t>
      </w:r>
      <w:r>
        <w:rPr>
          <w:rFonts w:ascii="Arial" w:hAnsi="Arial" w:cs="Arial"/>
          <w:sz w:val="28"/>
          <w:szCs w:val="28"/>
        </w:rPr>
        <w:t>widespread chemical restraint, or the neglect of personal hygiene -</w:t>
      </w:r>
      <w:r w:rsidRPr="00047540">
        <w:rPr>
          <w:rFonts w:ascii="Arial" w:hAnsi="Arial" w:cs="Arial"/>
          <w:sz w:val="28"/>
          <w:szCs w:val="28"/>
        </w:rPr>
        <w:t xml:space="preserve"> </w:t>
      </w:r>
      <w:r>
        <w:rPr>
          <w:rFonts w:ascii="Arial" w:hAnsi="Arial" w:cs="Arial"/>
          <w:sz w:val="28"/>
          <w:szCs w:val="28"/>
        </w:rPr>
        <w:t xml:space="preserve">are seen as almost inevitable in association with disability; the usual equation inverted, with the human being becoming aberration and the violence becoming ‘normal’. </w:t>
      </w:r>
    </w:p>
    <w:p w:rsidR="00910801" w:rsidRDefault="002A6942" w:rsidP="00F329EC">
      <w:pPr>
        <w:pStyle w:val="NormalWeb"/>
        <w:spacing w:before="0" w:beforeAutospacing="0" w:after="240" w:afterAutospacing="0"/>
        <w:ind w:right="-1"/>
      </w:pPr>
      <w:r>
        <w:rPr>
          <w:rFonts w:ascii="Arial" w:hAnsi="Arial" w:cs="Arial"/>
          <w:sz w:val="28"/>
          <w:szCs w:val="28"/>
        </w:rPr>
        <w:t>This is reflected in the fact that</w:t>
      </w:r>
      <w:r w:rsidR="00645A58">
        <w:rPr>
          <w:rFonts w:ascii="Arial" w:hAnsi="Arial" w:cs="Arial"/>
          <w:sz w:val="28"/>
          <w:szCs w:val="28"/>
        </w:rPr>
        <w:t xml:space="preserve"> </w:t>
      </w:r>
      <w:r w:rsidR="00EA0742">
        <w:rPr>
          <w:rFonts w:ascii="Arial" w:hAnsi="Arial" w:cs="Arial"/>
          <w:sz w:val="28"/>
          <w:szCs w:val="28"/>
        </w:rPr>
        <w:t>women with disability are subjected to physical violence at higher rates, more frequently, for longer, by more perpetrators, and in more ways than t</w:t>
      </w:r>
      <w:r w:rsidR="002A14D6">
        <w:rPr>
          <w:rFonts w:ascii="Arial" w:hAnsi="Arial" w:cs="Arial"/>
          <w:sz w:val="28"/>
          <w:szCs w:val="28"/>
        </w:rPr>
        <w:t>heir able bodied peers. In addition</w:t>
      </w:r>
      <w:r w:rsidR="00EA0742">
        <w:rPr>
          <w:rFonts w:ascii="Arial" w:hAnsi="Arial" w:cs="Arial"/>
          <w:sz w:val="28"/>
          <w:szCs w:val="28"/>
        </w:rPr>
        <w:t xml:space="preserve">, women with disability are less likely to report violence, to </w:t>
      </w:r>
      <w:r w:rsidR="00EA0742">
        <w:rPr>
          <w:rFonts w:ascii="Arial" w:hAnsi="Arial" w:cs="Arial"/>
          <w:sz w:val="28"/>
          <w:szCs w:val="28"/>
        </w:rPr>
        <w:lastRenderedPageBreak/>
        <w:t>access support, to have their cases prosecuted, or to see any prosecution be successful.</w:t>
      </w:r>
      <w:r w:rsidR="00660194">
        <w:rPr>
          <w:rStyle w:val="FootnoteReference"/>
          <w:rFonts w:ascii="Arial" w:hAnsi="Arial" w:cs="Arial"/>
          <w:sz w:val="28"/>
          <w:szCs w:val="28"/>
        </w:rPr>
        <w:footnoteReference w:id="3"/>
      </w:r>
    </w:p>
    <w:p w:rsidR="00EA0742" w:rsidRDefault="00EA0742" w:rsidP="00F329EC">
      <w:pPr>
        <w:pStyle w:val="NormalWeb"/>
        <w:spacing w:before="0" w:beforeAutospacing="0" w:after="240" w:afterAutospacing="0"/>
        <w:ind w:right="-1"/>
        <w:rPr>
          <w:rFonts w:ascii="Arial" w:hAnsi="Arial" w:cs="Arial"/>
          <w:sz w:val="28"/>
          <w:szCs w:val="28"/>
        </w:rPr>
      </w:pPr>
      <w:r>
        <w:rPr>
          <w:rFonts w:ascii="Arial" w:hAnsi="Arial" w:cs="Arial"/>
          <w:sz w:val="28"/>
          <w:szCs w:val="28"/>
        </w:rPr>
        <w:t xml:space="preserve">In short, the policy and service environment fail </w:t>
      </w:r>
      <w:r w:rsidR="00955D27">
        <w:rPr>
          <w:rFonts w:ascii="Arial" w:hAnsi="Arial" w:cs="Arial"/>
          <w:sz w:val="28"/>
          <w:szCs w:val="28"/>
        </w:rPr>
        <w:t xml:space="preserve">children, </w:t>
      </w:r>
      <w:r>
        <w:rPr>
          <w:rFonts w:ascii="Arial" w:hAnsi="Arial" w:cs="Arial"/>
          <w:sz w:val="28"/>
          <w:szCs w:val="28"/>
        </w:rPr>
        <w:t xml:space="preserve">women </w:t>
      </w:r>
      <w:r w:rsidR="00955D27">
        <w:rPr>
          <w:rFonts w:ascii="Arial" w:hAnsi="Arial" w:cs="Arial"/>
          <w:sz w:val="28"/>
          <w:szCs w:val="28"/>
        </w:rPr>
        <w:t xml:space="preserve">and men </w:t>
      </w:r>
      <w:r>
        <w:rPr>
          <w:rFonts w:ascii="Arial" w:hAnsi="Arial" w:cs="Arial"/>
          <w:sz w:val="28"/>
          <w:szCs w:val="28"/>
        </w:rPr>
        <w:t xml:space="preserve">with disability because violation of their rights is deemed unavoidable – and insurmountable, perhaps, when relative to other, more achievable, reform. </w:t>
      </w:r>
    </w:p>
    <w:p w:rsidR="00474656" w:rsidRDefault="002A6942" w:rsidP="00F329EC">
      <w:pPr>
        <w:spacing w:after="240" w:line="240" w:lineRule="auto"/>
        <w:ind w:right="-1"/>
        <w:rPr>
          <w:rFonts w:ascii="Arial" w:hAnsi="Arial" w:cs="Arial"/>
          <w:sz w:val="28"/>
          <w:szCs w:val="28"/>
        </w:rPr>
      </w:pPr>
      <w:r>
        <w:rPr>
          <w:rFonts w:ascii="Arial" w:hAnsi="Arial" w:cs="Arial"/>
          <w:sz w:val="28"/>
          <w:szCs w:val="28"/>
        </w:rPr>
        <w:t>Accordingly</w:t>
      </w:r>
      <w:r w:rsidR="00474656">
        <w:rPr>
          <w:rFonts w:ascii="Arial" w:hAnsi="Arial" w:cs="Arial"/>
          <w:sz w:val="28"/>
          <w:szCs w:val="28"/>
        </w:rPr>
        <w:t>, the lived experience of disability becomes less about actual impairment and more about the obstacles that stand in its way.  As Graeme Innes, Federal Disability Discrimination Commissioner, told a Federal Parliament Joint Standing Committee on migration treatment of disability: ‘…[in many cases] it is not the disability which is the cause of the problem, but rather the way that society has constructed itself…’</w:t>
      </w:r>
      <w:r w:rsidR="00660194">
        <w:rPr>
          <w:rStyle w:val="FootnoteReference"/>
          <w:rFonts w:ascii="Arial" w:hAnsi="Arial" w:cs="Arial"/>
          <w:sz w:val="28"/>
          <w:szCs w:val="28"/>
        </w:rPr>
        <w:footnoteReference w:id="4"/>
      </w:r>
    </w:p>
    <w:p w:rsidR="00CB14F1" w:rsidRDefault="00474656" w:rsidP="00F329EC">
      <w:pPr>
        <w:spacing w:after="240" w:line="240" w:lineRule="auto"/>
        <w:ind w:right="-1"/>
        <w:rPr>
          <w:rFonts w:ascii="Arial" w:hAnsi="Arial" w:cs="Arial"/>
          <w:sz w:val="28"/>
          <w:szCs w:val="28"/>
        </w:rPr>
      </w:pPr>
      <w:r>
        <w:rPr>
          <w:rFonts w:ascii="Arial" w:hAnsi="Arial" w:cs="Arial"/>
          <w:sz w:val="28"/>
          <w:szCs w:val="28"/>
        </w:rPr>
        <w:t xml:space="preserve">With violence and other forms of disadvantage normalised by the system, the </w:t>
      </w:r>
      <w:r w:rsidR="002A14D6">
        <w:rPr>
          <w:rFonts w:ascii="Arial" w:hAnsi="Arial" w:cs="Arial"/>
          <w:sz w:val="28"/>
          <w:szCs w:val="28"/>
        </w:rPr>
        <w:t xml:space="preserve">implicit </w:t>
      </w:r>
      <w:r>
        <w:rPr>
          <w:rFonts w:ascii="Arial" w:hAnsi="Arial" w:cs="Arial"/>
          <w:sz w:val="28"/>
          <w:szCs w:val="28"/>
        </w:rPr>
        <w:t>message to</w:t>
      </w:r>
      <w:r w:rsidR="003E011D">
        <w:rPr>
          <w:rFonts w:ascii="Arial" w:hAnsi="Arial" w:cs="Arial"/>
          <w:sz w:val="28"/>
          <w:szCs w:val="28"/>
        </w:rPr>
        <w:t xml:space="preserve"> vulnerable people with disability, their families </w:t>
      </w:r>
      <w:r>
        <w:rPr>
          <w:rFonts w:ascii="Arial" w:hAnsi="Arial" w:cs="Arial"/>
          <w:sz w:val="28"/>
          <w:szCs w:val="28"/>
        </w:rPr>
        <w:t>and advocates alike is tha</w:t>
      </w:r>
      <w:r w:rsidR="002A14D6">
        <w:rPr>
          <w:rFonts w:ascii="Arial" w:hAnsi="Arial" w:cs="Arial"/>
          <w:sz w:val="28"/>
          <w:szCs w:val="28"/>
        </w:rPr>
        <w:t xml:space="preserve">t asking for anything </w:t>
      </w:r>
      <w:r w:rsidR="002A14D6">
        <w:rPr>
          <w:rFonts w:ascii="Arial" w:hAnsi="Arial" w:cs="Arial"/>
          <w:i/>
          <w:sz w:val="28"/>
          <w:szCs w:val="28"/>
        </w:rPr>
        <w:t xml:space="preserve">less </w:t>
      </w:r>
      <w:r w:rsidR="002A14D6">
        <w:rPr>
          <w:rFonts w:ascii="Arial" w:hAnsi="Arial" w:cs="Arial"/>
          <w:sz w:val="28"/>
          <w:szCs w:val="28"/>
        </w:rPr>
        <w:t>than violence</w:t>
      </w:r>
      <w:r>
        <w:rPr>
          <w:rFonts w:ascii="Arial" w:hAnsi="Arial" w:cs="Arial"/>
          <w:sz w:val="28"/>
          <w:szCs w:val="28"/>
        </w:rPr>
        <w:t xml:space="preserve"> is simply asking too much. </w:t>
      </w:r>
      <w:r w:rsidR="000466F7">
        <w:rPr>
          <w:rFonts w:ascii="Arial" w:hAnsi="Arial" w:cs="Arial"/>
          <w:sz w:val="28"/>
          <w:szCs w:val="28"/>
        </w:rPr>
        <w:t>We need to remember instead</w:t>
      </w:r>
      <w:r w:rsidR="0052261C">
        <w:rPr>
          <w:rFonts w:ascii="Arial" w:hAnsi="Arial" w:cs="Arial"/>
          <w:sz w:val="28"/>
          <w:szCs w:val="28"/>
        </w:rPr>
        <w:t xml:space="preserve"> that what we are asking for in these cases </w:t>
      </w:r>
      <w:r>
        <w:rPr>
          <w:rFonts w:ascii="Arial" w:hAnsi="Arial" w:cs="Arial"/>
          <w:sz w:val="28"/>
          <w:szCs w:val="28"/>
        </w:rPr>
        <w:t>is</w:t>
      </w:r>
      <w:r w:rsidR="002A14D6">
        <w:rPr>
          <w:rFonts w:ascii="Arial" w:hAnsi="Arial" w:cs="Arial"/>
          <w:sz w:val="28"/>
          <w:szCs w:val="28"/>
        </w:rPr>
        <w:t>, in fact, the</w:t>
      </w:r>
      <w:r>
        <w:rPr>
          <w:rFonts w:ascii="Arial" w:hAnsi="Arial" w:cs="Arial"/>
          <w:sz w:val="28"/>
          <w:szCs w:val="28"/>
        </w:rPr>
        <w:t xml:space="preserve"> bottom line – the essential</w:t>
      </w:r>
      <w:r w:rsidR="0052261C">
        <w:rPr>
          <w:rFonts w:ascii="Arial" w:hAnsi="Arial" w:cs="Arial"/>
          <w:sz w:val="28"/>
          <w:szCs w:val="28"/>
        </w:rPr>
        <w:t xml:space="preserve">s, rather than an added bonus; </w:t>
      </w:r>
      <w:r>
        <w:rPr>
          <w:rFonts w:ascii="Arial" w:hAnsi="Arial" w:cs="Arial"/>
          <w:sz w:val="28"/>
          <w:szCs w:val="28"/>
        </w:rPr>
        <w:t xml:space="preserve">and </w:t>
      </w:r>
      <w:r w:rsidR="002A14D6">
        <w:rPr>
          <w:rFonts w:ascii="Arial" w:hAnsi="Arial" w:cs="Arial"/>
          <w:sz w:val="28"/>
          <w:szCs w:val="28"/>
        </w:rPr>
        <w:t xml:space="preserve">the fundamental standard upon which </w:t>
      </w:r>
      <w:r w:rsidR="0052261C">
        <w:rPr>
          <w:rFonts w:ascii="Arial" w:hAnsi="Arial" w:cs="Arial"/>
          <w:sz w:val="28"/>
          <w:szCs w:val="28"/>
        </w:rPr>
        <w:t>the</w:t>
      </w:r>
      <w:r w:rsidR="002A14D6">
        <w:rPr>
          <w:rFonts w:ascii="Arial" w:hAnsi="Arial" w:cs="Arial"/>
          <w:sz w:val="28"/>
          <w:szCs w:val="28"/>
        </w:rPr>
        <w:t xml:space="preserve"> international community has agreed</w:t>
      </w:r>
      <w:r w:rsidR="0052261C">
        <w:rPr>
          <w:rFonts w:ascii="Arial" w:hAnsi="Arial" w:cs="Arial"/>
          <w:sz w:val="28"/>
          <w:szCs w:val="28"/>
        </w:rPr>
        <w:t xml:space="preserve">. </w:t>
      </w:r>
    </w:p>
    <w:p w:rsidR="00474656" w:rsidRPr="00F329EC" w:rsidRDefault="00730885" w:rsidP="00F329EC">
      <w:pPr>
        <w:pStyle w:val="Heading1"/>
        <w:spacing w:before="240" w:after="240"/>
      </w:pPr>
      <w:r w:rsidRPr="00F329EC">
        <w:t>The international bottom line</w:t>
      </w:r>
      <w:r w:rsidR="00CE12E1" w:rsidRPr="00F329EC">
        <w:t xml:space="preserve"> and the economic argument</w:t>
      </w:r>
    </w:p>
    <w:p w:rsidR="00B17773" w:rsidRDefault="002A14D6" w:rsidP="00F329EC">
      <w:pPr>
        <w:spacing w:after="240" w:line="240" w:lineRule="auto"/>
        <w:ind w:right="-1"/>
        <w:rPr>
          <w:rFonts w:ascii="Arial" w:hAnsi="Arial" w:cs="Arial"/>
          <w:sz w:val="28"/>
          <w:szCs w:val="28"/>
        </w:rPr>
      </w:pPr>
      <w:r>
        <w:rPr>
          <w:rFonts w:ascii="Arial" w:hAnsi="Arial" w:cs="Arial"/>
          <w:sz w:val="28"/>
          <w:szCs w:val="28"/>
        </w:rPr>
        <w:t>For</w:t>
      </w:r>
      <w:r w:rsidR="00F0591F">
        <w:rPr>
          <w:rFonts w:ascii="Arial" w:hAnsi="Arial" w:cs="Arial"/>
          <w:sz w:val="28"/>
          <w:szCs w:val="28"/>
        </w:rPr>
        <w:t xml:space="preserve"> as </w:t>
      </w:r>
      <w:r w:rsidR="00730885">
        <w:rPr>
          <w:rFonts w:ascii="Arial" w:hAnsi="Arial" w:cs="Arial"/>
          <w:sz w:val="28"/>
          <w:szCs w:val="28"/>
        </w:rPr>
        <w:t>practical and local as Bella’s and Rose’s stories may seem, their entitlements to due process, to privacy, to dignity and to justice are founded in internationa</w:t>
      </w:r>
      <w:r w:rsidR="00F0591F">
        <w:rPr>
          <w:rFonts w:ascii="Arial" w:hAnsi="Arial" w:cs="Arial"/>
          <w:sz w:val="28"/>
          <w:szCs w:val="28"/>
        </w:rPr>
        <w:t xml:space="preserve">l law. Certainly, </w:t>
      </w:r>
      <w:r w:rsidR="00730885">
        <w:rPr>
          <w:rFonts w:ascii="Arial" w:hAnsi="Arial" w:cs="Arial"/>
          <w:sz w:val="28"/>
          <w:szCs w:val="28"/>
        </w:rPr>
        <w:t xml:space="preserve">treaties such as the International Covenant on Civil and Political Rights, and the International Covenant on Economic and Social Rights </w:t>
      </w:r>
      <w:r>
        <w:rPr>
          <w:rFonts w:ascii="Arial" w:hAnsi="Arial" w:cs="Arial"/>
          <w:sz w:val="28"/>
          <w:szCs w:val="28"/>
        </w:rPr>
        <w:t>spell out these entitlements as they apply to</w:t>
      </w:r>
      <w:r w:rsidR="00730885">
        <w:rPr>
          <w:rFonts w:ascii="Arial" w:hAnsi="Arial" w:cs="Arial"/>
          <w:sz w:val="28"/>
          <w:szCs w:val="28"/>
        </w:rPr>
        <w:t xml:space="preserve"> every human being. </w:t>
      </w:r>
      <w:r w:rsidR="002E7320">
        <w:rPr>
          <w:rFonts w:ascii="Arial" w:hAnsi="Arial" w:cs="Arial"/>
          <w:sz w:val="28"/>
          <w:szCs w:val="28"/>
        </w:rPr>
        <w:t xml:space="preserve">We must remember that economic rights are just as </w:t>
      </w:r>
      <w:r w:rsidR="00691091">
        <w:rPr>
          <w:rFonts w:ascii="Arial" w:hAnsi="Arial" w:cs="Arial"/>
          <w:sz w:val="28"/>
          <w:szCs w:val="28"/>
        </w:rPr>
        <w:t>imperative</w:t>
      </w:r>
      <w:r w:rsidR="002E7320">
        <w:rPr>
          <w:rFonts w:ascii="Arial" w:hAnsi="Arial" w:cs="Arial"/>
          <w:sz w:val="28"/>
          <w:szCs w:val="28"/>
        </w:rPr>
        <w:t xml:space="preserve"> as are political</w:t>
      </w:r>
      <w:r w:rsidR="00CE12E1">
        <w:rPr>
          <w:rFonts w:ascii="Arial" w:hAnsi="Arial" w:cs="Arial"/>
          <w:sz w:val="28"/>
          <w:szCs w:val="28"/>
        </w:rPr>
        <w:t xml:space="preserve"> </w:t>
      </w:r>
      <w:r w:rsidR="002E7320">
        <w:rPr>
          <w:rFonts w:ascii="Arial" w:hAnsi="Arial" w:cs="Arial"/>
          <w:sz w:val="28"/>
          <w:szCs w:val="28"/>
        </w:rPr>
        <w:t>civil</w:t>
      </w:r>
      <w:r w:rsidR="00CE12E1">
        <w:rPr>
          <w:rFonts w:ascii="Arial" w:hAnsi="Arial" w:cs="Arial"/>
          <w:sz w:val="28"/>
          <w:szCs w:val="28"/>
        </w:rPr>
        <w:t>, social and cultural</w:t>
      </w:r>
      <w:r w:rsidR="002E7320">
        <w:rPr>
          <w:rFonts w:ascii="Arial" w:hAnsi="Arial" w:cs="Arial"/>
          <w:sz w:val="28"/>
          <w:szCs w:val="28"/>
        </w:rPr>
        <w:t xml:space="preserve"> rights</w:t>
      </w:r>
      <w:r w:rsidR="00691091">
        <w:rPr>
          <w:rFonts w:ascii="Arial" w:hAnsi="Arial" w:cs="Arial"/>
          <w:sz w:val="28"/>
          <w:szCs w:val="28"/>
        </w:rPr>
        <w:t>. I believe it is critical to use economic arguments</w:t>
      </w:r>
      <w:r w:rsidR="00CE12E1">
        <w:rPr>
          <w:rFonts w:ascii="Arial" w:hAnsi="Arial" w:cs="Arial"/>
          <w:sz w:val="28"/>
          <w:szCs w:val="28"/>
        </w:rPr>
        <w:t xml:space="preserve"> and a</w:t>
      </w:r>
      <w:r w:rsidR="00691091">
        <w:rPr>
          <w:rFonts w:ascii="Arial" w:hAnsi="Arial" w:cs="Arial"/>
          <w:sz w:val="28"/>
          <w:szCs w:val="28"/>
        </w:rPr>
        <w:t>s advocates</w:t>
      </w:r>
      <w:r w:rsidR="00CE12E1">
        <w:rPr>
          <w:rFonts w:ascii="Arial" w:hAnsi="Arial" w:cs="Arial"/>
          <w:sz w:val="28"/>
          <w:szCs w:val="28"/>
        </w:rPr>
        <w:t xml:space="preserve"> you </w:t>
      </w:r>
      <w:r w:rsidR="00691091">
        <w:rPr>
          <w:rFonts w:ascii="Arial" w:hAnsi="Arial" w:cs="Arial"/>
          <w:sz w:val="28"/>
          <w:szCs w:val="28"/>
        </w:rPr>
        <w:t>should not shy away from the use of economic arguments.</w:t>
      </w:r>
      <w:r w:rsidR="00CE12E1">
        <w:rPr>
          <w:rFonts w:ascii="Arial" w:hAnsi="Arial" w:cs="Arial"/>
          <w:sz w:val="28"/>
          <w:szCs w:val="28"/>
        </w:rPr>
        <w:t xml:space="preserve"> </w:t>
      </w:r>
    </w:p>
    <w:p w:rsidR="00955D27" w:rsidRDefault="00CE12E1" w:rsidP="00F329EC">
      <w:pPr>
        <w:spacing w:after="240" w:line="240" w:lineRule="auto"/>
        <w:ind w:right="-1"/>
        <w:rPr>
          <w:rFonts w:ascii="Arial" w:hAnsi="Arial" w:cs="Arial"/>
          <w:sz w:val="28"/>
          <w:szCs w:val="28"/>
        </w:rPr>
      </w:pPr>
      <w:r>
        <w:rPr>
          <w:rFonts w:ascii="Arial" w:hAnsi="Arial" w:cs="Arial"/>
          <w:sz w:val="28"/>
          <w:szCs w:val="28"/>
        </w:rPr>
        <w:lastRenderedPageBreak/>
        <w:t xml:space="preserve">The ultimate goal of public policy should be the well-being and fulfilment of the rights of all citizens, </w:t>
      </w:r>
      <w:r w:rsidR="00955D27">
        <w:rPr>
          <w:rFonts w:ascii="Arial" w:hAnsi="Arial" w:cs="Arial"/>
          <w:sz w:val="28"/>
          <w:szCs w:val="28"/>
        </w:rPr>
        <w:t>this includes</w:t>
      </w:r>
      <w:r>
        <w:rPr>
          <w:rFonts w:ascii="Arial" w:hAnsi="Arial" w:cs="Arial"/>
          <w:sz w:val="28"/>
          <w:szCs w:val="28"/>
        </w:rPr>
        <w:t xml:space="preserve"> people with disability. The economic argument seeks to highlight the complementary links between social and economic policy, and the positive implications of social investment for economic development and productivity. This was the framework the productivity commission utilised in coming to its conclusion that a National Disability Insurance Scheme (NDIS) was not only in the best interests of people with disability and their families it</w:t>
      </w:r>
      <w:r w:rsidR="003D38FC">
        <w:rPr>
          <w:rFonts w:ascii="Arial" w:hAnsi="Arial" w:cs="Arial"/>
          <w:sz w:val="28"/>
          <w:szCs w:val="28"/>
        </w:rPr>
        <w:t xml:space="preserve"> would contribute positively towards </w:t>
      </w:r>
      <w:r>
        <w:rPr>
          <w:rFonts w:ascii="Arial" w:hAnsi="Arial" w:cs="Arial"/>
          <w:sz w:val="28"/>
          <w:szCs w:val="28"/>
        </w:rPr>
        <w:t>Australia's economic future.</w:t>
      </w:r>
      <w:r w:rsidR="003D38FC">
        <w:rPr>
          <w:rFonts w:ascii="Arial" w:hAnsi="Arial" w:cs="Arial"/>
          <w:sz w:val="28"/>
          <w:szCs w:val="28"/>
        </w:rPr>
        <w:t xml:space="preserve">  </w:t>
      </w:r>
    </w:p>
    <w:p w:rsidR="00730885" w:rsidRPr="00B17773" w:rsidRDefault="00B17773" w:rsidP="00F329EC">
      <w:pPr>
        <w:spacing w:after="240" w:line="240" w:lineRule="auto"/>
        <w:ind w:right="-1"/>
        <w:rPr>
          <w:rFonts w:ascii="Arial" w:hAnsi="Arial" w:cs="Arial"/>
          <w:sz w:val="20"/>
          <w:szCs w:val="20"/>
        </w:rPr>
      </w:pPr>
      <w:r>
        <w:rPr>
          <w:rFonts w:ascii="Arial" w:hAnsi="Arial" w:cs="Arial"/>
          <w:sz w:val="28"/>
          <w:szCs w:val="28"/>
        </w:rPr>
        <w:t>The productivity commission reported that the current disability support system is "underfunded, unfair fragmented and inefficient…"</w:t>
      </w:r>
      <w:r w:rsidRPr="003D38FC">
        <w:rPr>
          <w:rFonts w:ascii="Arial" w:hAnsi="Arial" w:cs="Arial"/>
          <w:sz w:val="28"/>
          <w:szCs w:val="28"/>
        </w:rPr>
        <w:t xml:space="preserve"> </w:t>
      </w:r>
      <w:r>
        <w:rPr>
          <w:rFonts w:ascii="Arial" w:hAnsi="Arial" w:cs="Arial"/>
          <w:sz w:val="28"/>
          <w:szCs w:val="28"/>
        </w:rPr>
        <w:t xml:space="preserve"> </w:t>
      </w:r>
      <w:r w:rsidR="003D38FC">
        <w:rPr>
          <w:rFonts w:ascii="Arial" w:hAnsi="Arial" w:cs="Arial"/>
          <w:sz w:val="28"/>
          <w:szCs w:val="28"/>
        </w:rPr>
        <w:t>People with disabilities are recognised as one of the most disadvantaged group, with substandard outcomes on most indicators of communit</w:t>
      </w:r>
      <w:r w:rsidR="00660194">
        <w:rPr>
          <w:rFonts w:ascii="Arial" w:hAnsi="Arial" w:cs="Arial"/>
          <w:sz w:val="28"/>
          <w:szCs w:val="28"/>
        </w:rPr>
        <w:t>y participation and well-being.</w:t>
      </w:r>
      <w:r w:rsidR="00660194">
        <w:rPr>
          <w:rStyle w:val="FootnoteReference"/>
          <w:rFonts w:ascii="Arial" w:hAnsi="Arial" w:cs="Arial"/>
          <w:sz w:val="28"/>
          <w:szCs w:val="28"/>
        </w:rPr>
        <w:footnoteReference w:id="5"/>
      </w:r>
    </w:p>
    <w:p w:rsidR="00FD2A0A" w:rsidRDefault="00DD0D9C" w:rsidP="00F329EC">
      <w:pPr>
        <w:spacing w:after="240" w:line="240" w:lineRule="auto"/>
        <w:ind w:right="-1"/>
        <w:rPr>
          <w:rFonts w:ascii="Arial" w:hAnsi="Arial" w:cs="Arial"/>
          <w:sz w:val="28"/>
          <w:szCs w:val="28"/>
        </w:rPr>
      </w:pPr>
      <w:r>
        <w:rPr>
          <w:rFonts w:ascii="Arial" w:hAnsi="Arial" w:cs="Arial"/>
          <w:sz w:val="28"/>
          <w:szCs w:val="28"/>
        </w:rPr>
        <w:t xml:space="preserve">When the Universal Declaration of Human Rights was pronounced it effectively meant that human rights were indivisible. Unfortunately in light of the Cold War human rights were </w:t>
      </w:r>
      <w:r w:rsidR="00D67FA6">
        <w:rPr>
          <w:rFonts w:ascii="Arial" w:hAnsi="Arial" w:cs="Arial"/>
          <w:sz w:val="28"/>
          <w:szCs w:val="28"/>
        </w:rPr>
        <w:t>prioritised</w:t>
      </w:r>
      <w:r>
        <w:rPr>
          <w:rFonts w:ascii="Arial" w:hAnsi="Arial" w:cs="Arial"/>
          <w:sz w:val="28"/>
          <w:szCs w:val="28"/>
        </w:rPr>
        <w:t>. Political and Civil Rights were seen as</w:t>
      </w:r>
      <w:r w:rsidR="00FD2A0A">
        <w:rPr>
          <w:rFonts w:ascii="Arial" w:hAnsi="Arial" w:cs="Arial"/>
          <w:sz w:val="28"/>
          <w:szCs w:val="28"/>
        </w:rPr>
        <w:t xml:space="preserve"> higher order rights a</w:t>
      </w:r>
      <w:r>
        <w:rPr>
          <w:rFonts w:ascii="Arial" w:hAnsi="Arial" w:cs="Arial"/>
          <w:sz w:val="28"/>
          <w:szCs w:val="28"/>
        </w:rPr>
        <w:t>nd social</w:t>
      </w:r>
      <w:r w:rsidR="009418C6">
        <w:rPr>
          <w:rFonts w:ascii="Arial" w:hAnsi="Arial" w:cs="Arial"/>
          <w:sz w:val="28"/>
          <w:szCs w:val="28"/>
        </w:rPr>
        <w:t>,</w:t>
      </w:r>
      <w:r>
        <w:rPr>
          <w:rFonts w:ascii="Arial" w:hAnsi="Arial" w:cs="Arial"/>
          <w:sz w:val="28"/>
          <w:szCs w:val="28"/>
        </w:rPr>
        <w:t xml:space="preserve"> economic and cultural rights were seen as soft rights</w:t>
      </w:r>
      <w:r w:rsidR="00D67FA6">
        <w:rPr>
          <w:rFonts w:ascii="Arial" w:hAnsi="Arial" w:cs="Arial"/>
          <w:sz w:val="28"/>
          <w:szCs w:val="28"/>
        </w:rPr>
        <w:t xml:space="preserve">. </w:t>
      </w:r>
    </w:p>
    <w:p w:rsidR="00EF05C7" w:rsidRDefault="00DD0D9C" w:rsidP="00F329EC">
      <w:pPr>
        <w:spacing w:after="240" w:line="240" w:lineRule="auto"/>
        <w:ind w:right="-1"/>
        <w:rPr>
          <w:rFonts w:ascii="Arial" w:hAnsi="Arial" w:cs="Arial"/>
          <w:sz w:val="28"/>
          <w:szCs w:val="28"/>
        </w:rPr>
      </w:pPr>
      <w:r>
        <w:rPr>
          <w:rFonts w:ascii="Arial" w:hAnsi="Arial" w:cs="Arial"/>
          <w:sz w:val="28"/>
          <w:szCs w:val="28"/>
        </w:rPr>
        <w:t>H</w:t>
      </w:r>
      <w:r w:rsidR="00730885">
        <w:rPr>
          <w:rFonts w:ascii="Arial" w:hAnsi="Arial" w:cs="Arial"/>
          <w:sz w:val="28"/>
          <w:szCs w:val="28"/>
        </w:rPr>
        <w:t>owever, the Convention on the Rights of People with Disabilities (or the CRPD) brings all international human rights obligations relevant to disability together under one umbrella. In doing so, it recognises</w:t>
      </w:r>
      <w:r w:rsidR="00EF05C7">
        <w:rPr>
          <w:rFonts w:ascii="Arial" w:hAnsi="Arial" w:cs="Arial"/>
          <w:sz w:val="28"/>
          <w:szCs w:val="28"/>
        </w:rPr>
        <w:t xml:space="preserve"> disability </w:t>
      </w:r>
      <w:r w:rsidR="00F0591F">
        <w:rPr>
          <w:rFonts w:ascii="Arial" w:hAnsi="Arial" w:cs="Arial"/>
          <w:sz w:val="28"/>
          <w:szCs w:val="28"/>
        </w:rPr>
        <w:t xml:space="preserve">not as </w:t>
      </w:r>
      <w:r w:rsidR="002A14D6">
        <w:rPr>
          <w:rFonts w:ascii="Arial" w:hAnsi="Arial" w:cs="Arial"/>
          <w:sz w:val="28"/>
          <w:szCs w:val="28"/>
        </w:rPr>
        <w:t>static</w:t>
      </w:r>
      <w:r w:rsidR="00F0591F">
        <w:rPr>
          <w:rFonts w:ascii="Arial" w:hAnsi="Arial" w:cs="Arial"/>
          <w:sz w:val="28"/>
          <w:szCs w:val="28"/>
        </w:rPr>
        <w:t xml:space="preserve">, </w:t>
      </w:r>
      <w:r w:rsidR="00730885">
        <w:rPr>
          <w:rFonts w:ascii="Arial" w:hAnsi="Arial" w:cs="Arial"/>
          <w:sz w:val="28"/>
          <w:szCs w:val="28"/>
        </w:rPr>
        <w:t xml:space="preserve">but </w:t>
      </w:r>
      <w:r w:rsidR="00EF05C7">
        <w:rPr>
          <w:rFonts w:ascii="Arial" w:hAnsi="Arial" w:cs="Arial"/>
          <w:sz w:val="28"/>
          <w:szCs w:val="28"/>
        </w:rPr>
        <w:t xml:space="preserve">as an ‘evolving concept’, </w:t>
      </w:r>
      <w:r w:rsidR="00730885">
        <w:rPr>
          <w:rFonts w:ascii="Arial" w:hAnsi="Arial" w:cs="Arial"/>
          <w:sz w:val="28"/>
          <w:szCs w:val="28"/>
        </w:rPr>
        <w:t xml:space="preserve">one </w:t>
      </w:r>
      <w:r w:rsidR="00EF05C7">
        <w:rPr>
          <w:rFonts w:ascii="Arial" w:hAnsi="Arial" w:cs="Arial"/>
          <w:sz w:val="28"/>
          <w:szCs w:val="28"/>
        </w:rPr>
        <w:t>that results ‘from the interaction between persons with impairments and attitudinal and environmental barriers…</w:t>
      </w:r>
      <w:proofErr w:type="gramStart"/>
      <w:r w:rsidR="00660194">
        <w:rPr>
          <w:rFonts w:ascii="Arial" w:hAnsi="Arial" w:cs="Arial"/>
          <w:sz w:val="28"/>
          <w:szCs w:val="28"/>
        </w:rPr>
        <w:t>’.</w:t>
      </w:r>
      <w:proofErr w:type="gramEnd"/>
      <w:r w:rsidR="00EF05C7">
        <w:rPr>
          <w:rFonts w:ascii="Arial" w:hAnsi="Arial" w:cs="Arial"/>
          <w:sz w:val="28"/>
          <w:szCs w:val="28"/>
        </w:rPr>
        <w:t xml:space="preserve">  </w:t>
      </w:r>
      <w:r w:rsidR="00730885">
        <w:rPr>
          <w:rFonts w:ascii="Arial" w:hAnsi="Arial" w:cs="Arial"/>
          <w:sz w:val="28"/>
          <w:szCs w:val="28"/>
        </w:rPr>
        <w:t xml:space="preserve">It also </w:t>
      </w:r>
      <w:r w:rsidR="00EF05C7">
        <w:rPr>
          <w:rFonts w:ascii="Arial" w:hAnsi="Arial" w:cs="Arial"/>
          <w:sz w:val="28"/>
          <w:szCs w:val="28"/>
        </w:rPr>
        <w:t>emphasises the obligation of the state to take a positive approach to rights – to protect people, rather than just refrain from discriminating against them.</w:t>
      </w:r>
      <w:r w:rsidR="00660194">
        <w:t xml:space="preserve"> </w:t>
      </w:r>
      <w:r w:rsidR="00660194" w:rsidRPr="0011769C">
        <w:rPr>
          <w:rStyle w:val="FootnoteReference"/>
          <w:rFonts w:ascii="Arial" w:hAnsi="Arial" w:cs="Arial"/>
          <w:sz w:val="28"/>
          <w:szCs w:val="28"/>
        </w:rPr>
        <w:footnoteReference w:id="6"/>
      </w:r>
    </w:p>
    <w:p w:rsidR="00931A36" w:rsidRDefault="00730885" w:rsidP="00F329EC">
      <w:pPr>
        <w:spacing w:after="240" w:line="240" w:lineRule="auto"/>
        <w:ind w:right="-1"/>
        <w:rPr>
          <w:rFonts w:ascii="Arial" w:eastAsia="Times New Roman" w:hAnsi="Arial" w:cs="Arial"/>
          <w:i/>
          <w:color w:val="000000"/>
          <w:sz w:val="28"/>
          <w:szCs w:val="28"/>
          <w:lang w:val="en" w:eastAsia="en-AU"/>
        </w:rPr>
      </w:pPr>
      <w:r>
        <w:rPr>
          <w:rFonts w:ascii="Arial" w:hAnsi="Arial" w:cs="Arial"/>
          <w:sz w:val="28"/>
          <w:szCs w:val="28"/>
        </w:rPr>
        <w:t xml:space="preserve">For example, </w:t>
      </w:r>
      <w:r w:rsidR="003A0E07">
        <w:rPr>
          <w:rFonts w:ascii="Arial" w:hAnsi="Arial" w:cs="Arial"/>
          <w:sz w:val="28"/>
          <w:szCs w:val="28"/>
        </w:rPr>
        <w:t>Article 16</w:t>
      </w:r>
      <w:r>
        <w:rPr>
          <w:rFonts w:ascii="Arial" w:hAnsi="Arial" w:cs="Arial"/>
          <w:sz w:val="28"/>
          <w:szCs w:val="28"/>
        </w:rPr>
        <w:t xml:space="preserve"> of the CRPD requires</w:t>
      </w:r>
      <w:r w:rsidR="003A0E07">
        <w:rPr>
          <w:rFonts w:ascii="Arial" w:hAnsi="Arial" w:cs="Arial"/>
          <w:sz w:val="28"/>
          <w:szCs w:val="28"/>
        </w:rPr>
        <w:t xml:space="preserve"> state</w:t>
      </w:r>
      <w:r>
        <w:rPr>
          <w:rFonts w:ascii="Arial" w:hAnsi="Arial" w:cs="Arial"/>
          <w:sz w:val="28"/>
          <w:szCs w:val="28"/>
        </w:rPr>
        <w:t xml:space="preserve"> partie</w:t>
      </w:r>
      <w:r w:rsidR="003A0E07">
        <w:rPr>
          <w:rFonts w:ascii="Arial" w:hAnsi="Arial" w:cs="Arial"/>
          <w:sz w:val="28"/>
          <w:szCs w:val="28"/>
        </w:rPr>
        <w:t>s to take’</w:t>
      </w:r>
      <w:r w:rsidR="003A0E07" w:rsidRPr="0051093F">
        <w:rPr>
          <w:rFonts w:ascii="Arial" w:eastAsia="Times New Roman" w:hAnsi="Arial" w:cs="Arial"/>
          <w:i/>
          <w:color w:val="000000"/>
          <w:sz w:val="28"/>
          <w:szCs w:val="28"/>
          <w:lang w:val="en" w:eastAsia="en-AU"/>
        </w:rPr>
        <w:t>…all appropriate legislative, administrative, social, educational and other measures to protect persons with disabilities, both within and outside the home, from all forms of exploitation, viol</w:t>
      </w:r>
      <w:r w:rsidR="003A0E07">
        <w:rPr>
          <w:rFonts w:ascii="Arial" w:eastAsia="Times New Roman" w:hAnsi="Arial" w:cs="Arial"/>
          <w:i/>
          <w:color w:val="000000"/>
          <w:sz w:val="28"/>
          <w:szCs w:val="28"/>
          <w:lang w:val="en" w:eastAsia="en-AU"/>
        </w:rPr>
        <w:t xml:space="preserve">ence and abuse, including their </w:t>
      </w:r>
      <w:r w:rsidR="003A0E07" w:rsidRPr="0051093F">
        <w:rPr>
          <w:rFonts w:ascii="Arial" w:eastAsia="Times New Roman" w:hAnsi="Arial" w:cs="Arial"/>
          <w:i/>
          <w:color w:val="000000"/>
          <w:sz w:val="28"/>
          <w:szCs w:val="28"/>
          <w:lang w:val="en" w:eastAsia="en-AU"/>
        </w:rPr>
        <w:t>gender-based aspects.</w:t>
      </w:r>
      <w:r w:rsidR="003A0E07">
        <w:rPr>
          <w:rFonts w:ascii="Arial" w:eastAsia="Times New Roman" w:hAnsi="Arial" w:cs="Arial"/>
          <w:i/>
          <w:color w:val="000000"/>
          <w:sz w:val="28"/>
          <w:szCs w:val="28"/>
          <w:lang w:val="en" w:eastAsia="en-AU"/>
        </w:rPr>
        <w:t>’</w:t>
      </w:r>
    </w:p>
    <w:p w:rsidR="003A0E07" w:rsidRPr="0051093F" w:rsidRDefault="003A0E07" w:rsidP="00F329EC">
      <w:pPr>
        <w:spacing w:after="240" w:line="240" w:lineRule="auto"/>
        <w:ind w:right="-1"/>
        <w:rPr>
          <w:rFonts w:ascii="Arial" w:eastAsia="Times New Roman" w:hAnsi="Arial" w:cs="Arial"/>
          <w:i/>
          <w:color w:val="000000"/>
          <w:sz w:val="28"/>
          <w:szCs w:val="28"/>
          <w:lang w:val="en" w:eastAsia="en-AU"/>
        </w:rPr>
      </w:pPr>
      <w:r w:rsidRPr="0051093F">
        <w:rPr>
          <w:rFonts w:ascii="Arial" w:eastAsia="Times New Roman" w:hAnsi="Arial" w:cs="Arial"/>
          <w:color w:val="000000"/>
          <w:sz w:val="28"/>
          <w:szCs w:val="28"/>
          <w:lang w:val="en" w:eastAsia="en-AU"/>
        </w:rPr>
        <w:t>Further, it requires that</w:t>
      </w:r>
      <w:r>
        <w:rPr>
          <w:rFonts w:ascii="Arial" w:eastAsia="Times New Roman" w:hAnsi="Arial" w:cs="Arial"/>
          <w:color w:val="000000"/>
          <w:sz w:val="28"/>
          <w:szCs w:val="28"/>
          <w:lang w:val="en" w:eastAsia="en-AU"/>
        </w:rPr>
        <w:t xml:space="preserve"> states do so by providing</w:t>
      </w:r>
      <w:r w:rsidRPr="0051093F">
        <w:rPr>
          <w:rFonts w:ascii="Arial" w:eastAsia="Times New Roman" w:hAnsi="Arial" w:cs="Arial"/>
          <w:color w:val="000000"/>
          <w:sz w:val="28"/>
          <w:szCs w:val="28"/>
          <w:lang w:val="en" w:eastAsia="en-AU"/>
        </w:rPr>
        <w:t xml:space="preserve">: </w:t>
      </w:r>
      <w:r>
        <w:rPr>
          <w:rFonts w:ascii="Arial" w:eastAsia="Times New Roman" w:hAnsi="Arial" w:cs="Arial"/>
          <w:i/>
          <w:color w:val="000000"/>
          <w:sz w:val="28"/>
          <w:szCs w:val="28"/>
          <w:lang w:val="en" w:eastAsia="en-AU"/>
        </w:rPr>
        <w:t>…</w:t>
      </w:r>
      <w:r w:rsidRPr="0051093F">
        <w:rPr>
          <w:rFonts w:ascii="Arial" w:eastAsia="Times New Roman" w:hAnsi="Arial" w:cs="Arial"/>
          <w:i/>
          <w:color w:val="000000"/>
          <w:sz w:val="28"/>
          <w:szCs w:val="28"/>
          <w:lang w:val="en" w:eastAsia="en-AU"/>
        </w:rPr>
        <w:t>appropriate forms of gender- and age-se</w:t>
      </w:r>
      <w:r>
        <w:rPr>
          <w:rFonts w:ascii="Arial" w:eastAsia="Times New Roman" w:hAnsi="Arial" w:cs="Arial"/>
          <w:i/>
          <w:color w:val="000000"/>
          <w:sz w:val="28"/>
          <w:szCs w:val="28"/>
          <w:lang w:val="en" w:eastAsia="en-AU"/>
        </w:rPr>
        <w:t>nsitive assistance and support [on] …</w:t>
      </w:r>
      <w:r w:rsidRPr="0051093F">
        <w:rPr>
          <w:rFonts w:ascii="Arial" w:eastAsia="Times New Roman" w:hAnsi="Arial" w:cs="Arial"/>
          <w:i/>
          <w:color w:val="000000"/>
          <w:sz w:val="28"/>
          <w:szCs w:val="28"/>
          <w:lang w:val="en" w:eastAsia="en-AU"/>
        </w:rPr>
        <w:t xml:space="preserve"> how to avoid, recognize and report instances of exploitation, violence and abuse…</w:t>
      </w:r>
      <w:r>
        <w:rPr>
          <w:rFonts w:ascii="Arial" w:eastAsia="Times New Roman" w:hAnsi="Arial" w:cs="Arial"/>
          <w:color w:val="000000"/>
          <w:sz w:val="28"/>
          <w:szCs w:val="28"/>
          <w:lang w:val="en" w:eastAsia="en-AU"/>
        </w:rPr>
        <w:t>and by ensuring effective monitoring</w:t>
      </w:r>
      <w:r w:rsidRPr="0051093F">
        <w:rPr>
          <w:rFonts w:ascii="Arial" w:eastAsia="Times New Roman" w:hAnsi="Arial" w:cs="Arial"/>
          <w:color w:val="000000"/>
          <w:sz w:val="28"/>
          <w:szCs w:val="28"/>
          <w:lang w:val="en" w:eastAsia="en-AU"/>
        </w:rPr>
        <w:t xml:space="preserve"> by independent authorities.</w:t>
      </w:r>
      <w:r w:rsidR="00730885">
        <w:rPr>
          <w:rFonts w:ascii="Arial" w:eastAsia="Times New Roman" w:hAnsi="Arial" w:cs="Arial"/>
          <w:color w:val="000000"/>
          <w:sz w:val="28"/>
          <w:szCs w:val="28"/>
          <w:lang w:val="en" w:eastAsia="en-AU"/>
        </w:rPr>
        <w:t xml:space="preserve"> </w:t>
      </w:r>
      <w:r>
        <w:rPr>
          <w:rFonts w:ascii="Arial" w:eastAsia="Times New Roman" w:hAnsi="Arial" w:cs="Arial"/>
          <w:color w:val="000000"/>
          <w:sz w:val="28"/>
          <w:szCs w:val="28"/>
          <w:lang w:val="en" w:eastAsia="en-AU"/>
        </w:rPr>
        <w:t xml:space="preserve">The Article goes on to determine that: </w:t>
      </w:r>
      <w:r w:rsidRPr="0051093F">
        <w:rPr>
          <w:rFonts w:ascii="Arial" w:eastAsia="Times New Roman" w:hAnsi="Arial" w:cs="Arial"/>
          <w:i/>
          <w:color w:val="000000"/>
          <w:sz w:val="28"/>
          <w:szCs w:val="28"/>
          <w:lang w:val="en" w:eastAsia="en-AU"/>
        </w:rPr>
        <w:t xml:space="preserve">States Parties shall </w:t>
      </w:r>
      <w:r w:rsidRPr="0051093F">
        <w:rPr>
          <w:rFonts w:ascii="Arial" w:eastAsia="Times New Roman" w:hAnsi="Arial" w:cs="Arial"/>
          <w:i/>
          <w:color w:val="000000"/>
          <w:sz w:val="28"/>
          <w:szCs w:val="28"/>
          <w:lang w:val="en" w:eastAsia="en-AU"/>
        </w:rPr>
        <w:lastRenderedPageBreak/>
        <w:t>put in place effective legislation and policies</w:t>
      </w:r>
      <w:r>
        <w:rPr>
          <w:rFonts w:ascii="Arial" w:eastAsia="Times New Roman" w:hAnsi="Arial" w:cs="Arial"/>
          <w:i/>
          <w:color w:val="000000"/>
          <w:sz w:val="28"/>
          <w:szCs w:val="28"/>
          <w:lang w:val="en" w:eastAsia="en-AU"/>
        </w:rPr>
        <w:t xml:space="preserve"> …t</w:t>
      </w:r>
      <w:r w:rsidRPr="0051093F">
        <w:rPr>
          <w:rFonts w:ascii="Arial" w:eastAsia="Times New Roman" w:hAnsi="Arial" w:cs="Arial"/>
          <w:i/>
          <w:color w:val="000000"/>
          <w:sz w:val="28"/>
          <w:szCs w:val="28"/>
          <w:lang w:val="en" w:eastAsia="en-AU"/>
        </w:rPr>
        <w:t>o ensure that instances of exploitation, violence and abuse against persons with disabilities are identified, investigated and, where appropriate, prosecuted.</w:t>
      </w:r>
    </w:p>
    <w:p w:rsidR="003A0E07" w:rsidRDefault="002A6942" w:rsidP="00F329EC">
      <w:pPr>
        <w:spacing w:after="240" w:line="240" w:lineRule="auto"/>
        <w:ind w:right="-1"/>
        <w:rPr>
          <w:rFonts w:ascii="Arial" w:hAnsi="Arial" w:cs="Arial"/>
          <w:sz w:val="28"/>
          <w:szCs w:val="28"/>
        </w:rPr>
      </w:pPr>
      <w:r>
        <w:rPr>
          <w:rFonts w:ascii="Arial" w:hAnsi="Arial" w:cs="Arial"/>
          <w:sz w:val="28"/>
          <w:szCs w:val="28"/>
        </w:rPr>
        <w:t>Clear</w:t>
      </w:r>
      <w:r w:rsidR="000466F7">
        <w:rPr>
          <w:rFonts w:ascii="Arial" w:hAnsi="Arial" w:cs="Arial"/>
          <w:sz w:val="28"/>
          <w:szCs w:val="28"/>
        </w:rPr>
        <w:t xml:space="preserve">ly, </w:t>
      </w:r>
      <w:r w:rsidR="003A0E07">
        <w:rPr>
          <w:rFonts w:ascii="Arial" w:hAnsi="Arial" w:cs="Arial"/>
          <w:sz w:val="28"/>
          <w:szCs w:val="28"/>
        </w:rPr>
        <w:t xml:space="preserve">these provisions </w:t>
      </w:r>
      <w:r>
        <w:rPr>
          <w:rFonts w:ascii="Arial" w:hAnsi="Arial" w:cs="Arial"/>
          <w:sz w:val="28"/>
          <w:szCs w:val="28"/>
        </w:rPr>
        <w:t xml:space="preserve">set </w:t>
      </w:r>
      <w:r w:rsidR="000466F7">
        <w:rPr>
          <w:rFonts w:ascii="Arial" w:hAnsi="Arial" w:cs="Arial"/>
          <w:sz w:val="28"/>
          <w:szCs w:val="28"/>
        </w:rPr>
        <w:t>solid benchmark</w:t>
      </w:r>
      <w:r>
        <w:rPr>
          <w:rFonts w:ascii="Arial" w:hAnsi="Arial" w:cs="Arial"/>
          <w:sz w:val="28"/>
          <w:szCs w:val="28"/>
        </w:rPr>
        <w:t>s</w:t>
      </w:r>
      <w:r w:rsidR="000466F7">
        <w:rPr>
          <w:rFonts w:ascii="Arial" w:hAnsi="Arial" w:cs="Arial"/>
          <w:sz w:val="28"/>
          <w:szCs w:val="28"/>
        </w:rPr>
        <w:t>, requiring</w:t>
      </w:r>
      <w:r w:rsidR="003A0E07">
        <w:rPr>
          <w:rFonts w:ascii="Arial" w:hAnsi="Arial" w:cs="Arial"/>
          <w:sz w:val="28"/>
          <w:szCs w:val="28"/>
        </w:rPr>
        <w:t xml:space="preserve"> governments to do more than merely abstain from discrimination</w:t>
      </w:r>
      <w:r>
        <w:rPr>
          <w:rFonts w:ascii="Arial" w:hAnsi="Arial" w:cs="Arial"/>
          <w:sz w:val="28"/>
          <w:szCs w:val="28"/>
        </w:rPr>
        <w:t xml:space="preserve"> and </w:t>
      </w:r>
      <w:r w:rsidR="000466F7">
        <w:rPr>
          <w:rFonts w:ascii="Arial" w:hAnsi="Arial" w:cs="Arial"/>
          <w:sz w:val="28"/>
          <w:szCs w:val="28"/>
        </w:rPr>
        <w:t>signal</w:t>
      </w:r>
      <w:r>
        <w:rPr>
          <w:rFonts w:ascii="Arial" w:hAnsi="Arial" w:cs="Arial"/>
          <w:sz w:val="28"/>
          <w:szCs w:val="28"/>
        </w:rPr>
        <w:t>ling</w:t>
      </w:r>
      <w:r w:rsidR="000466F7">
        <w:rPr>
          <w:rFonts w:ascii="Arial" w:hAnsi="Arial" w:cs="Arial"/>
          <w:sz w:val="28"/>
          <w:szCs w:val="28"/>
        </w:rPr>
        <w:t xml:space="preserve"> that exploitation, violence and abuse against people with disabilities is unacceptable</w:t>
      </w:r>
      <w:r w:rsidR="003A0E07">
        <w:rPr>
          <w:rFonts w:ascii="Arial" w:hAnsi="Arial" w:cs="Arial"/>
          <w:sz w:val="28"/>
          <w:szCs w:val="28"/>
        </w:rPr>
        <w:t>. Like our commitment to so</w:t>
      </w:r>
      <w:r>
        <w:rPr>
          <w:rFonts w:ascii="Arial" w:hAnsi="Arial" w:cs="Arial"/>
          <w:sz w:val="28"/>
          <w:szCs w:val="28"/>
        </w:rPr>
        <w:t xml:space="preserve"> many </w:t>
      </w:r>
      <w:r w:rsidR="00730885">
        <w:rPr>
          <w:rFonts w:ascii="Arial" w:hAnsi="Arial" w:cs="Arial"/>
          <w:sz w:val="28"/>
          <w:szCs w:val="28"/>
        </w:rPr>
        <w:t>ri</w:t>
      </w:r>
      <w:r w:rsidR="000466F7">
        <w:rPr>
          <w:rFonts w:ascii="Arial" w:hAnsi="Arial" w:cs="Arial"/>
          <w:sz w:val="28"/>
          <w:szCs w:val="28"/>
        </w:rPr>
        <w:t>ghts obligation</w:t>
      </w:r>
      <w:r>
        <w:rPr>
          <w:rFonts w:ascii="Arial" w:hAnsi="Arial" w:cs="Arial"/>
          <w:sz w:val="28"/>
          <w:szCs w:val="28"/>
        </w:rPr>
        <w:t>s</w:t>
      </w:r>
      <w:r w:rsidR="00730885">
        <w:rPr>
          <w:rFonts w:ascii="Arial" w:hAnsi="Arial" w:cs="Arial"/>
          <w:sz w:val="28"/>
          <w:szCs w:val="28"/>
        </w:rPr>
        <w:t xml:space="preserve">, </w:t>
      </w:r>
      <w:r w:rsidR="003A0E07">
        <w:rPr>
          <w:rFonts w:ascii="Arial" w:hAnsi="Arial" w:cs="Arial"/>
          <w:sz w:val="28"/>
          <w:szCs w:val="28"/>
        </w:rPr>
        <w:t xml:space="preserve">however, they do not always translate into reality. </w:t>
      </w:r>
    </w:p>
    <w:p w:rsidR="00993ACE" w:rsidRPr="003C6C3A" w:rsidRDefault="000466F7" w:rsidP="00F329EC">
      <w:pPr>
        <w:spacing w:after="240" w:line="240" w:lineRule="auto"/>
        <w:ind w:right="-1"/>
        <w:rPr>
          <w:rFonts w:ascii="Arial" w:hAnsi="Arial" w:cs="Arial"/>
          <w:sz w:val="28"/>
          <w:szCs w:val="28"/>
        </w:rPr>
      </w:pPr>
      <w:r>
        <w:rPr>
          <w:rFonts w:ascii="Arial" w:hAnsi="Arial" w:cs="Arial"/>
          <w:sz w:val="28"/>
          <w:szCs w:val="28"/>
        </w:rPr>
        <w:t>As a prime example</w:t>
      </w:r>
      <w:r w:rsidR="00993ACE">
        <w:rPr>
          <w:rFonts w:ascii="Arial" w:hAnsi="Arial" w:cs="Arial"/>
          <w:sz w:val="28"/>
          <w:szCs w:val="28"/>
        </w:rPr>
        <w:t xml:space="preserve">, there is no national legislation to enact the </w:t>
      </w:r>
      <w:r w:rsidR="00BC0969">
        <w:rPr>
          <w:rFonts w:ascii="Arial" w:hAnsi="Arial" w:cs="Arial"/>
          <w:sz w:val="28"/>
          <w:szCs w:val="28"/>
        </w:rPr>
        <w:t xml:space="preserve">substance of the </w:t>
      </w:r>
      <w:r w:rsidR="00993ACE">
        <w:rPr>
          <w:rFonts w:ascii="Arial" w:hAnsi="Arial" w:cs="Arial"/>
          <w:sz w:val="28"/>
          <w:szCs w:val="28"/>
        </w:rPr>
        <w:t>CRPD</w:t>
      </w:r>
      <w:r w:rsidR="00F0591F">
        <w:rPr>
          <w:rFonts w:ascii="Arial" w:hAnsi="Arial" w:cs="Arial"/>
          <w:sz w:val="28"/>
          <w:szCs w:val="28"/>
        </w:rPr>
        <w:t>,</w:t>
      </w:r>
      <w:r w:rsidR="00730885">
        <w:rPr>
          <w:rFonts w:ascii="Arial" w:hAnsi="Arial" w:cs="Arial"/>
          <w:sz w:val="28"/>
          <w:szCs w:val="28"/>
        </w:rPr>
        <w:t xml:space="preserve"> while human rights i</w:t>
      </w:r>
      <w:r w:rsidR="00F0591F">
        <w:rPr>
          <w:rFonts w:ascii="Arial" w:hAnsi="Arial" w:cs="Arial"/>
          <w:sz w:val="28"/>
          <w:szCs w:val="28"/>
        </w:rPr>
        <w:t xml:space="preserve">nstruments are not </w:t>
      </w:r>
      <w:r w:rsidR="00730885">
        <w:rPr>
          <w:rFonts w:ascii="Arial" w:hAnsi="Arial" w:cs="Arial"/>
          <w:sz w:val="28"/>
          <w:szCs w:val="28"/>
        </w:rPr>
        <w:t>enforceable at the local or state court level</w:t>
      </w:r>
      <w:r w:rsidR="00BC0969">
        <w:rPr>
          <w:rFonts w:ascii="Arial" w:hAnsi="Arial" w:cs="Arial"/>
          <w:sz w:val="28"/>
          <w:szCs w:val="28"/>
        </w:rPr>
        <w:t xml:space="preserve"> either</w:t>
      </w:r>
      <w:r>
        <w:rPr>
          <w:rFonts w:ascii="Arial" w:hAnsi="Arial" w:cs="Arial"/>
          <w:sz w:val="28"/>
          <w:szCs w:val="28"/>
        </w:rPr>
        <w:t xml:space="preserve">. </w:t>
      </w:r>
      <w:r w:rsidR="002A6942">
        <w:rPr>
          <w:rFonts w:ascii="Arial" w:hAnsi="Arial" w:cs="Arial"/>
          <w:sz w:val="28"/>
          <w:szCs w:val="28"/>
        </w:rPr>
        <w:t>More specifically</w:t>
      </w:r>
      <w:r w:rsidR="00993ACE">
        <w:rPr>
          <w:rFonts w:ascii="Arial" w:hAnsi="Arial" w:cs="Arial"/>
          <w:sz w:val="28"/>
          <w:szCs w:val="28"/>
        </w:rPr>
        <w:t xml:space="preserve">, </w:t>
      </w:r>
      <w:r w:rsidR="00993ACE" w:rsidRPr="003C6C3A">
        <w:rPr>
          <w:rFonts w:ascii="Arial" w:hAnsi="Arial" w:cs="Arial"/>
          <w:sz w:val="28"/>
          <w:szCs w:val="28"/>
        </w:rPr>
        <w:t>no actions in the National Disability Strategy</w:t>
      </w:r>
      <w:r w:rsidR="00F0591F">
        <w:rPr>
          <w:rFonts w:ascii="Arial" w:hAnsi="Arial" w:cs="Arial"/>
          <w:sz w:val="28"/>
          <w:szCs w:val="28"/>
        </w:rPr>
        <w:t xml:space="preserve"> </w:t>
      </w:r>
      <w:r w:rsidR="00993ACE" w:rsidRPr="003C6C3A">
        <w:rPr>
          <w:rFonts w:ascii="Arial" w:hAnsi="Arial" w:cs="Arial"/>
          <w:sz w:val="28"/>
          <w:szCs w:val="28"/>
        </w:rPr>
        <w:t xml:space="preserve">address the </w:t>
      </w:r>
      <w:r w:rsidR="00F0591F">
        <w:rPr>
          <w:rFonts w:ascii="Arial" w:hAnsi="Arial" w:cs="Arial"/>
          <w:sz w:val="28"/>
          <w:szCs w:val="28"/>
        </w:rPr>
        <w:t xml:space="preserve">particular </w:t>
      </w:r>
      <w:r w:rsidR="00993ACE" w:rsidRPr="003C6C3A">
        <w:rPr>
          <w:rFonts w:ascii="Arial" w:hAnsi="Arial" w:cs="Arial"/>
          <w:sz w:val="28"/>
          <w:szCs w:val="28"/>
        </w:rPr>
        <w:t>discrimination that women with disability face</w:t>
      </w:r>
      <w:r w:rsidR="00993ACE">
        <w:rPr>
          <w:rFonts w:ascii="Arial" w:hAnsi="Arial" w:cs="Arial"/>
          <w:sz w:val="28"/>
          <w:szCs w:val="28"/>
        </w:rPr>
        <w:t>.</w:t>
      </w:r>
      <w:r w:rsidR="00660194">
        <w:rPr>
          <w:rStyle w:val="FootnoteReference"/>
          <w:rFonts w:ascii="Arial" w:hAnsi="Arial" w:cs="Arial"/>
          <w:sz w:val="28"/>
          <w:szCs w:val="28"/>
        </w:rPr>
        <w:footnoteReference w:id="7"/>
      </w:r>
    </w:p>
    <w:p w:rsidR="003A0E07" w:rsidRDefault="00DB1668" w:rsidP="00F329EC">
      <w:pPr>
        <w:spacing w:after="240" w:line="240" w:lineRule="auto"/>
        <w:ind w:right="-1"/>
        <w:rPr>
          <w:rFonts w:ascii="Arial" w:hAnsi="Arial" w:cs="Arial"/>
          <w:sz w:val="28"/>
          <w:szCs w:val="28"/>
        </w:rPr>
      </w:pPr>
      <w:r>
        <w:rPr>
          <w:rFonts w:ascii="Arial" w:hAnsi="Arial" w:cs="Arial"/>
          <w:sz w:val="28"/>
          <w:szCs w:val="28"/>
        </w:rPr>
        <w:t>Despite this</w:t>
      </w:r>
      <w:r w:rsidR="00730885">
        <w:rPr>
          <w:rFonts w:ascii="Arial" w:hAnsi="Arial" w:cs="Arial"/>
          <w:sz w:val="28"/>
          <w:szCs w:val="28"/>
        </w:rPr>
        <w:t>, instruments such as the CRPD</w:t>
      </w:r>
      <w:r w:rsidR="003A0E07">
        <w:rPr>
          <w:rFonts w:ascii="Arial" w:hAnsi="Arial" w:cs="Arial"/>
          <w:sz w:val="28"/>
          <w:szCs w:val="28"/>
        </w:rPr>
        <w:t xml:space="preserve"> do offer a glimpse of how we might frame an argument - helping us reconfigure, or lend further weight, to our approach; explaining </w:t>
      </w:r>
      <w:r w:rsidR="00833431">
        <w:rPr>
          <w:rFonts w:ascii="Arial" w:hAnsi="Arial" w:cs="Arial"/>
          <w:sz w:val="28"/>
          <w:szCs w:val="28"/>
        </w:rPr>
        <w:t>that we are not asking for an exception, but for the rule</w:t>
      </w:r>
      <w:r w:rsidR="00B717C8">
        <w:rPr>
          <w:rFonts w:ascii="Arial" w:hAnsi="Arial" w:cs="Arial"/>
          <w:sz w:val="28"/>
          <w:szCs w:val="28"/>
        </w:rPr>
        <w:t xml:space="preserve"> to be applied</w:t>
      </w:r>
      <w:r w:rsidR="00F0591F">
        <w:rPr>
          <w:rFonts w:ascii="Arial" w:hAnsi="Arial" w:cs="Arial"/>
          <w:sz w:val="28"/>
          <w:szCs w:val="28"/>
        </w:rPr>
        <w:t xml:space="preserve">; </w:t>
      </w:r>
      <w:r>
        <w:rPr>
          <w:rFonts w:ascii="Arial" w:hAnsi="Arial" w:cs="Arial"/>
          <w:sz w:val="28"/>
          <w:szCs w:val="28"/>
        </w:rPr>
        <w:t xml:space="preserve">and </w:t>
      </w:r>
      <w:r w:rsidR="00F0591F">
        <w:rPr>
          <w:rFonts w:ascii="Arial" w:hAnsi="Arial" w:cs="Arial"/>
          <w:sz w:val="28"/>
          <w:szCs w:val="28"/>
        </w:rPr>
        <w:t>confirming that,</w:t>
      </w:r>
      <w:r w:rsidR="00833431">
        <w:rPr>
          <w:rFonts w:ascii="Arial" w:hAnsi="Arial" w:cs="Arial"/>
          <w:sz w:val="28"/>
          <w:szCs w:val="28"/>
        </w:rPr>
        <w:t xml:space="preserve"> </w:t>
      </w:r>
      <w:r w:rsidR="002A14D6">
        <w:rPr>
          <w:rFonts w:ascii="Arial" w:hAnsi="Arial" w:cs="Arial"/>
          <w:sz w:val="28"/>
          <w:szCs w:val="28"/>
        </w:rPr>
        <w:t>often</w:t>
      </w:r>
      <w:r w:rsidR="00F0591F">
        <w:rPr>
          <w:rFonts w:ascii="Arial" w:hAnsi="Arial" w:cs="Arial"/>
          <w:sz w:val="28"/>
          <w:szCs w:val="28"/>
        </w:rPr>
        <w:t>,</w:t>
      </w:r>
      <w:r w:rsidR="002A14D6">
        <w:rPr>
          <w:rFonts w:ascii="Arial" w:hAnsi="Arial" w:cs="Arial"/>
          <w:sz w:val="28"/>
          <w:szCs w:val="28"/>
        </w:rPr>
        <w:t xml:space="preserve"> </w:t>
      </w:r>
      <w:r w:rsidR="00833431">
        <w:rPr>
          <w:rFonts w:ascii="Arial" w:hAnsi="Arial" w:cs="Arial"/>
          <w:sz w:val="28"/>
          <w:szCs w:val="28"/>
        </w:rPr>
        <w:t>the most disabling force in many individual’s lives is not their impairment but the structures that surround and respond to it</w:t>
      </w:r>
      <w:r w:rsidR="003A0E07">
        <w:rPr>
          <w:rFonts w:ascii="Arial" w:hAnsi="Arial" w:cs="Arial"/>
          <w:sz w:val="28"/>
          <w:szCs w:val="28"/>
        </w:rPr>
        <w:t xml:space="preserve">. </w:t>
      </w:r>
    </w:p>
    <w:p w:rsidR="003A0E07" w:rsidRPr="00F329EC" w:rsidRDefault="003A0E07" w:rsidP="00F329EC">
      <w:pPr>
        <w:pStyle w:val="Heading1"/>
        <w:spacing w:before="240" w:after="240"/>
      </w:pPr>
      <w:r w:rsidRPr="00F329EC">
        <w:t>Taking the rights approach</w:t>
      </w:r>
    </w:p>
    <w:p w:rsidR="003A0E07" w:rsidRDefault="00DB1668" w:rsidP="00F329EC">
      <w:pPr>
        <w:spacing w:after="240" w:line="240" w:lineRule="auto"/>
        <w:ind w:right="-1"/>
        <w:rPr>
          <w:rFonts w:ascii="Arial" w:hAnsi="Arial" w:cs="Arial"/>
          <w:sz w:val="28"/>
          <w:szCs w:val="28"/>
        </w:rPr>
      </w:pPr>
      <w:r>
        <w:rPr>
          <w:rFonts w:ascii="Arial" w:hAnsi="Arial" w:cs="Arial"/>
          <w:sz w:val="28"/>
          <w:szCs w:val="28"/>
        </w:rPr>
        <w:t>What’</w:t>
      </w:r>
      <w:r w:rsidR="00BC0969">
        <w:rPr>
          <w:rFonts w:ascii="Arial" w:hAnsi="Arial" w:cs="Arial"/>
          <w:sz w:val="28"/>
          <w:szCs w:val="28"/>
        </w:rPr>
        <w:t>s more, a</w:t>
      </w:r>
      <w:r>
        <w:rPr>
          <w:rFonts w:ascii="Arial" w:hAnsi="Arial" w:cs="Arial"/>
          <w:sz w:val="28"/>
          <w:szCs w:val="28"/>
        </w:rPr>
        <w:t xml:space="preserve"> rights</w:t>
      </w:r>
      <w:r w:rsidR="00BC0969">
        <w:rPr>
          <w:rFonts w:ascii="Arial" w:hAnsi="Arial" w:cs="Arial"/>
          <w:sz w:val="28"/>
          <w:szCs w:val="28"/>
        </w:rPr>
        <w:t xml:space="preserve"> based</w:t>
      </w:r>
      <w:r w:rsidR="003A0E07">
        <w:rPr>
          <w:rFonts w:ascii="Arial" w:hAnsi="Arial" w:cs="Arial"/>
          <w:sz w:val="28"/>
          <w:szCs w:val="28"/>
        </w:rPr>
        <w:t xml:space="preserve"> </w:t>
      </w:r>
      <w:r w:rsidR="00BC0969">
        <w:rPr>
          <w:rFonts w:ascii="Arial" w:hAnsi="Arial" w:cs="Arial"/>
          <w:sz w:val="28"/>
          <w:szCs w:val="28"/>
        </w:rPr>
        <w:t xml:space="preserve">approach can </w:t>
      </w:r>
      <w:r w:rsidR="002A6942">
        <w:rPr>
          <w:rFonts w:ascii="Arial" w:hAnsi="Arial" w:cs="Arial"/>
          <w:sz w:val="28"/>
          <w:szCs w:val="28"/>
        </w:rPr>
        <w:t>increasingly</w:t>
      </w:r>
      <w:r w:rsidR="00BC0969">
        <w:rPr>
          <w:rFonts w:ascii="Arial" w:hAnsi="Arial" w:cs="Arial"/>
          <w:sz w:val="28"/>
          <w:szCs w:val="28"/>
        </w:rPr>
        <w:t xml:space="preserve"> be spotted in the Australian legal and policy landscape</w:t>
      </w:r>
      <w:r w:rsidR="00F0591F">
        <w:rPr>
          <w:rFonts w:ascii="Arial" w:hAnsi="Arial" w:cs="Arial"/>
          <w:sz w:val="28"/>
          <w:szCs w:val="28"/>
        </w:rPr>
        <w:t xml:space="preserve">. </w:t>
      </w:r>
      <w:r w:rsidR="00BC0969">
        <w:rPr>
          <w:rFonts w:ascii="Arial" w:hAnsi="Arial" w:cs="Arial"/>
          <w:sz w:val="28"/>
          <w:szCs w:val="28"/>
        </w:rPr>
        <w:t>It is certainly</w:t>
      </w:r>
      <w:r w:rsidR="003A0E07">
        <w:rPr>
          <w:rFonts w:ascii="Arial" w:hAnsi="Arial" w:cs="Arial"/>
          <w:sz w:val="28"/>
          <w:szCs w:val="28"/>
        </w:rPr>
        <w:t xml:space="preserve"> the basis of</w:t>
      </w:r>
      <w:r w:rsidR="00642D22">
        <w:rPr>
          <w:rFonts w:ascii="Arial" w:hAnsi="Arial" w:cs="Arial"/>
          <w:sz w:val="28"/>
          <w:szCs w:val="28"/>
        </w:rPr>
        <w:t xml:space="preserve"> Queensland Anti-discrimination act 1991 and the Commonwealth's</w:t>
      </w:r>
      <w:r w:rsidR="003A0E07">
        <w:rPr>
          <w:rFonts w:ascii="Arial" w:hAnsi="Arial" w:cs="Arial"/>
          <w:sz w:val="28"/>
          <w:szCs w:val="28"/>
        </w:rPr>
        <w:t xml:space="preserve"> </w:t>
      </w:r>
      <w:r w:rsidR="003A0E07" w:rsidRPr="00D01898">
        <w:rPr>
          <w:rFonts w:ascii="Arial" w:hAnsi="Arial" w:cs="Arial"/>
          <w:i/>
          <w:sz w:val="28"/>
          <w:szCs w:val="28"/>
        </w:rPr>
        <w:t>Disability Discrimination Act</w:t>
      </w:r>
      <w:r w:rsidR="00F0591F">
        <w:rPr>
          <w:rFonts w:ascii="Arial" w:hAnsi="Arial" w:cs="Arial"/>
          <w:sz w:val="28"/>
          <w:szCs w:val="28"/>
        </w:rPr>
        <w:t xml:space="preserve"> 1992 which, over </w:t>
      </w:r>
      <w:r w:rsidR="003A0E07">
        <w:rPr>
          <w:rFonts w:ascii="Arial" w:hAnsi="Arial" w:cs="Arial"/>
          <w:sz w:val="28"/>
          <w:szCs w:val="28"/>
        </w:rPr>
        <w:t>20 years,</w:t>
      </w:r>
      <w:r w:rsidR="00642D22">
        <w:rPr>
          <w:rFonts w:ascii="Arial" w:hAnsi="Arial" w:cs="Arial"/>
          <w:sz w:val="28"/>
          <w:szCs w:val="28"/>
        </w:rPr>
        <w:t xml:space="preserve"> both acts have </w:t>
      </w:r>
      <w:r w:rsidR="002A14D6">
        <w:rPr>
          <w:rFonts w:ascii="Arial" w:hAnsi="Arial" w:cs="Arial"/>
          <w:sz w:val="28"/>
          <w:szCs w:val="28"/>
        </w:rPr>
        <w:t>had a particular</w:t>
      </w:r>
      <w:r w:rsidR="003A0E07">
        <w:rPr>
          <w:rFonts w:ascii="Arial" w:hAnsi="Arial" w:cs="Arial"/>
          <w:sz w:val="28"/>
          <w:szCs w:val="28"/>
        </w:rPr>
        <w:t xml:space="preserve"> impact in areas such as public transport and accessible building</w:t>
      </w:r>
      <w:r w:rsidR="00F0591F">
        <w:rPr>
          <w:rFonts w:ascii="Arial" w:hAnsi="Arial" w:cs="Arial"/>
          <w:sz w:val="28"/>
          <w:szCs w:val="28"/>
        </w:rPr>
        <w:t>, with positive obligations placed on service providers to meet certain basic standards</w:t>
      </w:r>
      <w:r w:rsidR="00660194">
        <w:rPr>
          <w:rFonts w:ascii="Arial" w:hAnsi="Arial" w:cs="Arial"/>
          <w:sz w:val="28"/>
          <w:szCs w:val="28"/>
        </w:rPr>
        <w:t>.</w:t>
      </w:r>
      <w:r w:rsidR="00660194">
        <w:rPr>
          <w:rStyle w:val="FootnoteReference"/>
          <w:rFonts w:ascii="Arial" w:hAnsi="Arial" w:cs="Arial"/>
          <w:sz w:val="28"/>
          <w:szCs w:val="28"/>
        </w:rPr>
        <w:footnoteReference w:id="8"/>
      </w:r>
    </w:p>
    <w:p w:rsidR="003A0E07" w:rsidRPr="00E2519D" w:rsidRDefault="00B973D3" w:rsidP="00F329EC">
      <w:pPr>
        <w:spacing w:after="240" w:line="240" w:lineRule="auto"/>
        <w:ind w:right="-1"/>
        <w:rPr>
          <w:rFonts w:ascii="Arial" w:hAnsi="Arial" w:cs="Arial"/>
          <w:sz w:val="28"/>
          <w:szCs w:val="28"/>
        </w:rPr>
      </w:pPr>
      <w:r>
        <w:rPr>
          <w:rFonts w:ascii="Arial" w:hAnsi="Arial" w:cs="Arial"/>
          <w:sz w:val="28"/>
          <w:szCs w:val="28"/>
        </w:rPr>
        <w:t>More recently, t</w:t>
      </w:r>
      <w:r w:rsidR="003A0E07">
        <w:rPr>
          <w:rFonts w:ascii="Arial" w:hAnsi="Arial" w:cs="Arial"/>
          <w:sz w:val="28"/>
          <w:szCs w:val="28"/>
        </w:rPr>
        <w:t xml:space="preserve">he Victorian </w:t>
      </w:r>
      <w:r w:rsidR="003A0E07">
        <w:rPr>
          <w:rFonts w:ascii="Arial" w:hAnsi="Arial" w:cs="Arial"/>
          <w:i/>
          <w:sz w:val="28"/>
          <w:szCs w:val="28"/>
        </w:rPr>
        <w:t>Charter of Rights and Responsibilities</w:t>
      </w:r>
      <w:r>
        <w:rPr>
          <w:rFonts w:ascii="Arial" w:hAnsi="Arial" w:cs="Arial"/>
          <w:sz w:val="28"/>
          <w:szCs w:val="28"/>
        </w:rPr>
        <w:t>,</w:t>
      </w:r>
      <w:r w:rsidR="003A0E07">
        <w:rPr>
          <w:rFonts w:ascii="Arial" w:hAnsi="Arial" w:cs="Arial"/>
          <w:i/>
          <w:sz w:val="28"/>
          <w:szCs w:val="28"/>
        </w:rPr>
        <w:t xml:space="preserve"> </w:t>
      </w:r>
      <w:r w:rsidR="003A0E07">
        <w:rPr>
          <w:rFonts w:ascii="Arial" w:hAnsi="Arial" w:cs="Arial"/>
          <w:sz w:val="28"/>
          <w:szCs w:val="28"/>
        </w:rPr>
        <w:t xml:space="preserve">offers a </w:t>
      </w:r>
      <w:r w:rsidR="002A14D6">
        <w:rPr>
          <w:rFonts w:ascii="Arial" w:hAnsi="Arial" w:cs="Arial"/>
          <w:sz w:val="28"/>
          <w:szCs w:val="28"/>
        </w:rPr>
        <w:t xml:space="preserve">state-based </w:t>
      </w:r>
      <w:r w:rsidR="003A0E07">
        <w:rPr>
          <w:rFonts w:ascii="Arial" w:hAnsi="Arial" w:cs="Arial"/>
          <w:sz w:val="28"/>
          <w:szCs w:val="28"/>
        </w:rPr>
        <w:t>model – placing positive obligations on government agencies and decision makers to consider human rights; and on the Parliament to contemplate and account for human rights in the development of an</w:t>
      </w:r>
      <w:r w:rsidR="00F0591F">
        <w:rPr>
          <w:rFonts w:ascii="Arial" w:hAnsi="Arial" w:cs="Arial"/>
          <w:sz w:val="28"/>
          <w:szCs w:val="28"/>
        </w:rPr>
        <w:t>y legislation. In the first six</w:t>
      </w:r>
      <w:r w:rsidR="003A0E07">
        <w:rPr>
          <w:rFonts w:ascii="Arial" w:hAnsi="Arial" w:cs="Arial"/>
          <w:sz w:val="28"/>
          <w:szCs w:val="28"/>
        </w:rPr>
        <w:t xml:space="preserve"> years of its operation, it has already been used in a range of ways to achieve meaningful improvement in the lives</w:t>
      </w:r>
      <w:r w:rsidR="002A14D6">
        <w:rPr>
          <w:rFonts w:ascii="Arial" w:hAnsi="Arial" w:cs="Arial"/>
          <w:sz w:val="28"/>
          <w:szCs w:val="28"/>
        </w:rPr>
        <w:t xml:space="preserve"> of Victorians with disability.</w:t>
      </w:r>
      <w:r w:rsidR="003A0E07">
        <w:rPr>
          <w:rStyle w:val="EndnoteReference"/>
          <w:rFonts w:ascii="Arial" w:hAnsi="Arial" w:cs="Arial"/>
          <w:sz w:val="28"/>
          <w:szCs w:val="28"/>
        </w:rPr>
        <w:endnoteReference w:id="1"/>
      </w:r>
    </w:p>
    <w:p w:rsidR="003A0E07" w:rsidRDefault="00767020" w:rsidP="00F329EC">
      <w:pPr>
        <w:spacing w:after="240" w:line="240" w:lineRule="auto"/>
        <w:ind w:right="-1"/>
        <w:rPr>
          <w:rFonts w:ascii="Arial" w:hAnsi="Arial" w:cs="Arial"/>
          <w:sz w:val="28"/>
          <w:szCs w:val="28"/>
          <w:lang w:val="en"/>
        </w:rPr>
      </w:pPr>
      <w:r>
        <w:rPr>
          <w:rFonts w:ascii="Arial" w:hAnsi="Arial" w:cs="Arial"/>
          <w:sz w:val="28"/>
          <w:szCs w:val="28"/>
        </w:rPr>
        <w:lastRenderedPageBreak/>
        <w:t>Meanwhile,</w:t>
      </w:r>
      <w:r w:rsidR="003A0E07" w:rsidRPr="00676B8F">
        <w:rPr>
          <w:rFonts w:ascii="Arial" w:hAnsi="Arial" w:cs="Arial"/>
          <w:sz w:val="28"/>
          <w:szCs w:val="28"/>
        </w:rPr>
        <w:t xml:space="preserve"> the</w:t>
      </w:r>
      <w:r w:rsidR="00642D22">
        <w:rPr>
          <w:rFonts w:ascii="Arial" w:hAnsi="Arial" w:cs="Arial"/>
          <w:sz w:val="28"/>
          <w:szCs w:val="28"/>
        </w:rPr>
        <w:t xml:space="preserve"> NDIS </w:t>
      </w:r>
      <w:r>
        <w:rPr>
          <w:rFonts w:ascii="Arial" w:hAnsi="Arial" w:cs="Arial"/>
          <w:sz w:val="28"/>
          <w:szCs w:val="28"/>
        </w:rPr>
        <w:t>is</w:t>
      </w:r>
      <w:r w:rsidR="003A0E07">
        <w:rPr>
          <w:rFonts w:ascii="Arial" w:hAnsi="Arial" w:cs="Arial"/>
          <w:sz w:val="28"/>
          <w:szCs w:val="28"/>
        </w:rPr>
        <w:t xml:space="preserve"> the most significant disability reform in generations, </w:t>
      </w:r>
      <w:r>
        <w:rPr>
          <w:rFonts w:ascii="Arial" w:hAnsi="Arial" w:cs="Arial"/>
          <w:sz w:val="28"/>
          <w:szCs w:val="28"/>
        </w:rPr>
        <w:t xml:space="preserve">and </w:t>
      </w:r>
      <w:r w:rsidR="00376BCC">
        <w:rPr>
          <w:rFonts w:ascii="Arial" w:hAnsi="Arial" w:cs="Arial"/>
          <w:sz w:val="28"/>
          <w:szCs w:val="28"/>
        </w:rPr>
        <w:t>offers the potential to</w:t>
      </w:r>
      <w:r w:rsidR="003A0E07">
        <w:rPr>
          <w:rFonts w:ascii="Arial" w:hAnsi="Arial" w:cs="Arial"/>
          <w:sz w:val="28"/>
          <w:szCs w:val="28"/>
        </w:rPr>
        <w:t xml:space="preserve"> </w:t>
      </w:r>
      <w:r w:rsidR="002A6942">
        <w:rPr>
          <w:rFonts w:ascii="Arial" w:hAnsi="Arial" w:cs="Arial"/>
          <w:sz w:val="28"/>
          <w:szCs w:val="28"/>
        </w:rPr>
        <w:t xml:space="preserve">dramatically </w:t>
      </w:r>
      <w:r w:rsidR="00376BCC">
        <w:rPr>
          <w:rFonts w:ascii="Arial" w:hAnsi="Arial" w:cs="Arial"/>
          <w:sz w:val="28"/>
          <w:szCs w:val="28"/>
        </w:rPr>
        <w:t>restructure</w:t>
      </w:r>
      <w:r w:rsidR="003A0E07" w:rsidRPr="00676B8F">
        <w:rPr>
          <w:rFonts w:ascii="Arial" w:hAnsi="Arial" w:cs="Arial"/>
          <w:sz w:val="28"/>
          <w:szCs w:val="28"/>
        </w:rPr>
        <w:t xml:space="preserve"> service provisi</w:t>
      </w:r>
      <w:r w:rsidR="003A0E07">
        <w:rPr>
          <w:rFonts w:ascii="Arial" w:hAnsi="Arial" w:cs="Arial"/>
          <w:sz w:val="28"/>
          <w:szCs w:val="28"/>
        </w:rPr>
        <w:t>on</w:t>
      </w:r>
      <w:r w:rsidR="002A6942">
        <w:rPr>
          <w:rFonts w:ascii="Arial" w:hAnsi="Arial" w:cs="Arial"/>
          <w:sz w:val="28"/>
          <w:szCs w:val="28"/>
        </w:rPr>
        <w:t>.</w:t>
      </w:r>
      <w:r w:rsidR="002A6942" w:rsidRPr="002A6942">
        <w:rPr>
          <w:rFonts w:ascii="Arial" w:hAnsi="Arial" w:cs="Arial"/>
          <w:sz w:val="28"/>
          <w:szCs w:val="28"/>
          <w:lang w:val="en"/>
        </w:rPr>
        <w:t xml:space="preserve"> </w:t>
      </w:r>
      <w:r w:rsidR="002A6942">
        <w:rPr>
          <w:rFonts w:ascii="Arial" w:hAnsi="Arial" w:cs="Arial"/>
          <w:sz w:val="28"/>
          <w:szCs w:val="28"/>
          <w:lang w:val="en"/>
        </w:rPr>
        <w:t xml:space="preserve">For the first time, the manner in which a person receives disability services will not vary depending on where they live; or on the effectiveness of particular agencies, with people </w:t>
      </w:r>
      <w:r w:rsidR="002A6942">
        <w:rPr>
          <w:rFonts w:ascii="Arial" w:hAnsi="Arial" w:cs="Arial"/>
          <w:sz w:val="28"/>
          <w:szCs w:val="28"/>
        </w:rPr>
        <w:t>with disability instead positioned as rights holders - autonomous participants in the marketplace, rather than as passive recipients.  In doing so, the NDIS frames impairment as a normal part of the human condition.</w:t>
      </w:r>
      <w:r w:rsidR="00660194">
        <w:rPr>
          <w:rStyle w:val="FootnoteReference"/>
          <w:rFonts w:ascii="Arial" w:hAnsi="Arial" w:cs="Arial"/>
          <w:sz w:val="28"/>
          <w:szCs w:val="28"/>
        </w:rPr>
        <w:footnoteReference w:id="9"/>
      </w:r>
    </w:p>
    <w:p w:rsidR="00767020" w:rsidRDefault="002A14D6" w:rsidP="00F329EC">
      <w:pPr>
        <w:pStyle w:val="NormalWeb"/>
        <w:shd w:val="clear" w:color="auto" w:fill="FFFFFF"/>
        <w:spacing w:before="0" w:beforeAutospacing="0" w:after="240" w:afterAutospacing="0"/>
        <w:ind w:right="-1"/>
        <w:rPr>
          <w:rFonts w:ascii="Arial" w:hAnsi="Arial" w:cs="Arial"/>
          <w:sz w:val="28"/>
          <w:szCs w:val="28"/>
        </w:rPr>
      </w:pPr>
      <w:r>
        <w:rPr>
          <w:rFonts w:ascii="Arial" w:hAnsi="Arial" w:cs="Arial"/>
          <w:sz w:val="28"/>
          <w:szCs w:val="28"/>
        </w:rPr>
        <w:t>S</w:t>
      </w:r>
      <w:r w:rsidR="00B717C8">
        <w:rPr>
          <w:rFonts w:ascii="Arial" w:hAnsi="Arial" w:cs="Arial"/>
          <w:sz w:val="28"/>
          <w:szCs w:val="28"/>
        </w:rPr>
        <w:t xml:space="preserve">uch </w:t>
      </w:r>
      <w:r w:rsidR="002A6942">
        <w:rPr>
          <w:rFonts w:ascii="Arial" w:hAnsi="Arial" w:cs="Arial"/>
          <w:sz w:val="28"/>
          <w:szCs w:val="28"/>
        </w:rPr>
        <w:t xml:space="preserve">is the promise of the NDIS that </w:t>
      </w:r>
      <w:r w:rsidR="003A0E07" w:rsidRPr="00767020">
        <w:rPr>
          <w:rFonts w:ascii="Arial" w:hAnsi="Arial" w:cs="Arial"/>
          <w:sz w:val="28"/>
          <w:szCs w:val="28"/>
        </w:rPr>
        <w:t>suggest</w:t>
      </w:r>
      <w:r w:rsidR="00B717C8">
        <w:rPr>
          <w:rFonts w:ascii="Arial" w:hAnsi="Arial" w:cs="Arial"/>
          <w:sz w:val="28"/>
          <w:szCs w:val="28"/>
        </w:rPr>
        <w:t>ions</w:t>
      </w:r>
      <w:r w:rsidR="00AD6A6C">
        <w:rPr>
          <w:rFonts w:ascii="Arial" w:hAnsi="Arial" w:cs="Arial"/>
          <w:sz w:val="28"/>
          <w:szCs w:val="28"/>
        </w:rPr>
        <w:t xml:space="preserve"> </w:t>
      </w:r>
      <w:r w:rsidR="002A6942">
        <w:rPr>
          <w:rFonts w:ascii="Arial" w:hAnsi="Arial" w:cs="Arial"/>
          <w:sz w:val="28"/>
          <w:szCs w:val="28"/>
        </w:rPr>
        <w:t xml:space="preserve">have been made </w:t>
      </w:r>
      <w:r w:rsidR="00AD6A6C">
        <w:rPr>
          <w:rFonts w:ascii="Arial" w:hAnsi="Arial" w:cs="Arial"/>
          <w:sz w:val="28"/>
          <w:szCs w:val="28"/>
        </w:rPr>
        <w:t>that, as a result</w:t>
      </w:r>
      <w:r w:rsidR="00B717C8">
        <w:rPr>
          <w:rFonts w:ascii="Arial" w:hAnsi="Arial" w:cs="Arial"/>
          <w:sz w:val="28"/>
          <w:szCs w:val="28"/>
        </w:rPr>
        <w:t>, people with disabilities will no longer need the support of advocates. No matter how effective the scheme may be, however, this</w:t>
      </w:r>
      <w:r w:rsidR="003A0E07" w:rsidRPr="00767020">
        <w:rPr>
          <w:rFonts w:ascii="Arial" w:hAnsi="Arial" w:cs="Arial"/>
          <w:sz w:val="28"/>
          <w:szCs w:val="28"/>
        </w:rPr>
        <w:t xml:space="preserve"> could not be further from the truth. Though the NDIS wa</w:t>
      </w:r>
      <w:r w:rsidR="00B717C8">
        <w:rPr>
          <w:rFonts w:ascii="Arial" w:hAnsi="Arial" w:cs="Arial"/>
          <w:sz w:val="28"/>
          <w:szCs w:val="28"/>
        </w:rPr>
        <w:t>s designed to increase individual autonomy, a</w:t>
      </w:r>
      <w:r w:rsidR="003A0E07" w:rsidRPr="00767020">
        <w:rPr>
          <w:rFonts w:ascii="Arial" w:hAnsi="Arial" w:cs="Arial"/>
          <w:sz w:val="28"/>
          <w:szCs w:val="28"/>
        </w:rPr>
        <w:t xml:space="preserve"> bridge </w:t>
      </w:r>
      <w:r w:rsidR="00AD6A6C">
        <w:rPr>
          <w:rFonts w:ascii="Arial" w:hAnsi="Arial" w:cs="Arial"/>
          <w:sz w:val="28"/>
          <w:szCs w:val="28"/>
        </w:rPr>
        <w:t xml:space="preserve">will often still be needed </w:t>
      </w:r>
      <w:r w:rsidR="003A0E07" w:rsidRPr="00767020">
        <w:rPr>
          <w:rFonts w:ascii="Arial" w:hAnsi="Arial" w:cs="Arial"/>
          <w:sz w:val="28"/>
          <w:szCs w:val="28"/>
        </w:rPr>
        <w:t>between</w:t>
      </w:r>
      <w:r w:rsidR="00AD6A6C">
        <w:rPr>
          <w:rFonts w:ascii="Arial" w:hAnsi="Arial" w:cs="Arial"/>
          <w:sz w:val="28"/>
          <w:szCs w:val="28"/>
        </w:rPr>
        <w:t xml:space="preserve"> service provision</w:t>
      </w:r>
      <w:r w:rsidR="002C789C">
        <w:rPr>
          <w:rFonts w:ascii="Arial" w:hAnsi="Arial" w:cs="Arial"/>
          <w:sz w:val="28"/>
          <w:szCs w:val="28"/>
        </w:rPr>
        <w:t xml:space="preserve"> and </w:t>
      </w:r>
      <w:r w:rsidR="00767020" w:rsidRPr="00767020">
        <w:rPr>
          <w:rFonts w:ascii="Arial" w:hAnsi="Arial" w:cs="Arial"/>
          <w:sz w:val="28"/>
          <w:szCs w:val="28"/>
        </w:rPr>
        <w:t>user</w:t>
      </w:r>
      <w:r w:rsidR="00AD6A6C">
        <w:rPr>
          <w:rFonts w:ascii="Arial" w:hAnsi="Arial" w:cs="Arial"/>
          <w:sz w:val="28"/>
          <w:szCs w:val="28"/>
        </w:rPr>
        <w:t>s</w:t>
      </w:r>
      <w:r w:rsidR="002C789C">
        <w:rPr>
          <w:rFonts w:ascii="Arial" w:hAnsi="Arial" w:cs="Arial"/>
          <w:sz w:val="28"/>
          <w:szCs w:val="28"/>
        </w:rPr>
        <w:t xml:space="preserve"> </w:t>
      </w:r>
      <w:r w:rsidR="00767020" w:rsidRPr="00767020">
        <w:rPr>
          <w:rFonts w:ascii="Arial" w:hAnsi="Arial" w:cs="Arial"/>
          <w:sz w:val="28"/>
          <w:szCs w:val="28"/>
        </w:rPr>
        <w:t xml:space="preserve">– </w:t>
      </w:r>
      <w:r w:rsidR="002C789C">
        <w:rPr>
          <w:rFonts w:ascii="Arial" w:hAnsi="Arial" w:cs="Arial"/>
          <w:sz w:val="28"/>
          <w:szCs w:val="28"/>
        </w:rPr>
        <w:t xml:space="preserve">in short, </w:t>
      </w:r>
      <w:r w:rsidR="00B717C8">
        <w:rPr>
          <w:rFonts w:ascii="Arial" w:hAnsi="Arial" w:cs="Arial"/>
          <w:sz w:val="28"/>
          <w:szCs w:val="28"/>
        </w:rPr>
        <w:t xml:space="preserve">between </w:t>
      </w:r>
      <w:r w:rsidR="00767020" w:rsidRPr="00767020">
        <w:rPr>
          <w:rFonts w:ascii="Arial" w:hAnsi="Arial" w:cs="Arial"/>
          <w:sz w:val="28"/>
          <w:szCs w:val="28"/>
        </w:rPr>
        <w:t>the marketplace and the consumer</w:t>
      </w:r>
      <w:r w:rsidR="00466DE7" w:rsidRPr="00767020">
        <w:rPr>
          <w:rFonts w:ascii="Arial" w:hAnsi="Arial" w:cs="Arial"/>
          <w:sz w:val="28"/>
          <w:szCs w:val="28"/>
        </w:rPr>
        <w:t>.</w:t>
      </w:r>
      <w:r w:rsidR="00767020" w:rsidRPr="00767020">
        <w:rPr>
          <w:rFonts w:ascii="Arial" w:hAnsi="Arial" w:cs="Arial"/>
          <w:sz w:val="28"/>
          <w:szCs w:val="28"/>
        </w:rPr>
        <w:t xml:space="preserve"> </w:t>
      </w:r>
    </w:p>
    <w:p w:rsidR="009D4EF0" w:rsidRDefault="00B717C8" w:rsidP="00F329EC">
      <w:pPr>
        <w:pStyle w:val="NormalWeb"/>
        <w:shd w:val="clear" w:color="auto" w:fill="FFFFFF"/>
        <w:spacing w:before="0" w:beforeAutospacing="0" w:after="240" w:afterAutospacing="0"/>
        <w:ind w:right="-1"/>
        <w:rPr>
          <w:rFonts w:ascii="Arial" w:hAnsi="Arial" w:cs="Arial"/>
          <w:sz w:val="28"/>
          <w:szCs w:val="28"/>
        </w:rPr>
      </w:pPr>
      <w:r>
        <w:rPr>
          <w:rFonts w:ascii="Arial" w:hAnsi="Arial" w:cs="Arial"/>
          <w:sz w:val="28"/>
          <w:szCs w:val="28"/>
        </w:rPr>
        <w:t>It is arguable, perhaps, that devolving to an individual</w:t>
      </w:r>
      <w:r w:rsidR="002C789C">
        <w:rPr>
          <w:rFonts w:ascii="Arial" w:hAnsi="Arial" w:cs="Arial"/>
          <w:sz w:val="28"/>
          <w:szCs w:val="28"/>
        </w:rPr>
        <w:t>ised system in this way will make the need for advocacy even greater. After all, m</w:t>
      </w:r>
      <w:r w:rsidR="00767020" w:rsidRPr="00767020">
        <w:rPr>
          <w:rFonts w:ascii="Arial" w:hAnsi="Arial" w:cs="Arial"/>
          <w:sz w:val="28"/>
          <w:szCs w:val="28"/>
        </w:rPr>
        <w:t>ost Australians find it hard enough to</w:t>
      </w:r>
      <w:r w:rsidR="00B973D3">
        <w:rPr>
          <w:rFonts w:ascii="Arial" w:hAnsi="Arial" w:cs="Arial"/>
          <w:sz w:val="28"/>
          <w:szCs w:val="28"/>
        </w:rPr>
        <w:t xml:space="preserve"> negotiate marketplaces of any kind</w:t>
      </w:r>
      <w:r w:rsidR="00AD6A6C">
        <w:rPr>
          <w:rFonts w:ascii="Arial" w:hAnsi="Arial" w:cs="Arial"/>
          <w:sz w:val="28"/>
          <w:szCs w:val="28"/>
        </w:rPr>
        <w:t>, but the</w:t>
      </w:r>
      <w:r w:rsidR="00767020" w:rsidRPr="00767020">
        <w:rPr>
          <w:rFonts w:ascii="Arial" w:hAnsi="Arial" w:cs="Arial"/>
          <w:sz w:val="28"/>
          <w:szCs w:val="28"/>
        </w:rPr>
        <w:t xml:space="preserve"> stories </w:t>
      </w:r>
      <w:r w:rsidR="00AD6A6C">
        <w:rPr>
          <w:rFonts w:ascii="Arial" w:hAnsi="Arial" w:cs="Arial"/>
          <w:sz w:val="28"/>
          <w:szCs w:val="28"/>
        </w:rPr>
        <w:t xml:space="preserve">of Bella and Rose </w:t>
      </w:r>
      <w:r w:rsidR="00767020" w:rsidRPr="00767020">
        <w:rPr>
          <w:rFonts w:ascii="Arial" w:hAnsi="Arial" w:cs="Arial"/>
          <w:sz w:val="28"/>
          <w:szCs w:val="28"/>
        </w:rPr>
        <w:t>re</w:t>
      </w:r>
      <w:r w:rsidR="00AD6A6C">
        <w:rPr>
          <w:rFonts w:ascii="Arial" w:hAnsi="Arial" w:cs="Arial"/>
          <w:sz w:val="28"/>
          <w:szCs w:val="28"/>
        </w:rPr>
        <w:t xml:space="preserve">veal how much more </w:t>
      </w:r>
      <w:r w:rsidR="00767020" w:rsidRPr="00767020">
        <w:rPr>
          <w:rFonts w:ascii="Arial" w:hAnsi="Arial" w:cs="Arial"/>
          <w:sz w:val="28"/>
          <w:szCs w:val="28"/>
        </w:rPr>
        <w:t>vulnerable people with disabilities can be in terms of negotiating how to meet their needs</w:t>
      </w:r>
      <w:r w:rsidR="002A14D6">
        <w:rPr>
          <w:rFonts w:ascii="Arial" w:hAnsi="Arial" w:cs="Arial"/>
          <w:sz w:val="28"/>
          <w:szCs w:val="28"/>
        </w:rPr>
        <w:t xml:space="preserve"> or </w:t>
      </w:r>
      <w:r w:rsidR="00AD6A6C">
        <w:rPr>
          <w:rFonts w:ascii="Arial" w:hAnsi="Arial" w:cs="Arial"/>
          <w:sz w:val="28"/>
          <w:szCs w:val="28"/>
        </w:rPr>
        <w:t>resolve problems</w:t>
      </w:r>
      <w:r w:rsidR="002A14D6">
        <w:rPr>
          <w:rFonts w:ascii="Arial" w:hAnsi="Arial" w:cs="Arial"/>
          <w:sz w:val="28"/>
          <w:szCs w:val="28"/>
        </w:rPr>
        <w:t xml:space="preserve"> that arise</w:t>
      </w:r>
      <w:r w:rsidR="009D4EF0">
        <w:rPr>
          <w:rFonts w:ascii="Arial" w:hAnsi="Arial" w:cs="Arial"/>
          <w:sz w:val="28"/>
          <w:szCs w:val="28"/>
        </w:rPr>
        <w:t xml:space="preserve">. </w:t>
      </w:r>
    </w:p>
    <w:p w:rsidR="003A0E07" w:rsidRDefault="00AD6A6C" w:rsidP="00F329EC">
      <w:pPr>
        <w:pStyle w:val="NormalWeb"/>
        <w:shd w:val="clear" w:color="auto" w:fill="FFFFFF"/>
        <w:spacing w:before="0" w:beforeAutospacing="0" w:after="240" w:afterAutospacing="0"/>
        <w:ind w:right="-1"/>
        <w:rPr>
          <w:rFonts w:ascii="Arial" w:hAnsi="Arial" w:cs="Arial"/>
          <w:sz w:val="28"/>
          <w:szCs w:val="28"/>
        </w:rPr>
      </w:pPr>
      <w:r>
        <w:rPr>
          <w:rFonts w:ascii="Arial" w:hAnsi="Arial" w:cs="Arial"/>
          <w:sz w:val="28"/>
          <w:szCs w:val="28"/>
        </w:rPr>
        <w:t xml:space="preserve">What’s more, stories </w:t>
      </w:r>
      <w:r w:rsidR="002A14D6">
        <w:rPr>
          <w:rFonts w:ascii="Arial" w:hAnsi="Arial" w:cs="Arial"/>
          <w:sz w:val="28"/>
          <w:szCs w:val="28"/>
        </w:rPr>
        <w:t>circulat</w:t>
      </w:r>
      <w:r w:rsidR="00767020" w:rsidRPr="00767020">
        <w:rPr>
          <w:rFonts w:ascii="Arial" w:hAnsi="Arial" w:cs="Arial"/>
          <w:sz w:val="28"/>
          <w:szCs w:val="28"/>
        </w:rPr>
        <w:t xml:space="preserve">ing </w:t>
      </w:r>
      <w:r w:rsidR="00722AD7">
        <w:rPr>
          <w:rFonts w:ascii="Arial" w:hAnsi="Arial" w:cs="Arial"/>
          <w:sz w:val="28"/>
          <w:szCs w:val="28"/>
        </w:rPr>
        <w:t xml:space="preserve">earlier </w:t>
      </w:r>
      <w:r w:rsidR="00767020" w:rsidRPr="00767020">
        <w:rPr>
          <w:rFonts w:ascii="Arial" w:hAnsi="Arial" w:cs="Arial"/>
          <w:sz w:val="28"/>
          <w:szCs w:val="28"/>
        </w:rPr>
        <w:t>this week that the current Federal Government may consider asking Medibank to operate the scheme – a body which it has</w:t>
      </w:r>
      <w:r>
        <w:rPr>
          <w:rFonts w:ascii="Arial" w:hAnsi="Arial" w:cs="Arial"/>
          <w:sz w:val="28"/>
          <w:szCs w:val="28"/>
        </w:rPr>
        <w:t>, in turn,</w:t>
      </w:r>
      <w:r w:rsidR="00767020" w:rsidRPr="00767020">
        <w:rPr>
          <w:rFonts w:ascii="Arial" w:hAnsi="Arial" w:cs="Arial"/>
          <w:sz w:val="28"/>
          <w:szCs w:val="28"/>
        </w:rPr>
        <w:t xml:space="preserve"> expressed a</w:t>
      </w:r>
      <w:r>
        <w:rPr>
          <w:rFonts w:ascii="Arial" w:hAnsi="Arial" w:cs="Arial"/>
          <w:sz w:val="28"/>
          <w:szCs w:val="28"/>
        </w:rPr>
        <w:t xml:space="preserve">n intention to privatise – </w:t>
      </w:r>
      <w:r w:rsidR="00767020" w:rsidRPr="00767020">
        <w:rPr>
          <w:rFonts w:ascii="Arial" w:hAnsi="Arial" w:cs="Arial"/>
          <w:sz w:val="28"/>
          <w:szCs w:val="28"/>
        </w:rPr>
        <w:t>makes th</w:t>
      </w:r>
      <w:r>
        <w:rPr>
          <w:rFonts w:ascii="Arial" w:hAnsi="Arial" w:cs="Arial"/>
          <w:sz w:val="28"/>
          <w:szCs w:val="28"/>
        </w:rPr>
        <w:t>e argument</w:t>
      </w:r>
      <w:r w:rsidR="00722AD7">
        <w:rPr>
          <w:rFonts w:ascii="Arial" w:hAnsi="Arial" w:cs="Arial"/>
          <w:sz w:val="28"/>
          <w:szCs w:val="28"/>
        </w:rPr>
        <w:t xml:space="preserve"> that advocacy will no longer be needed even less credible</w:t>
      </w:r>
      <w:r w:rsidR="00767020" w:rsidRPr="00767020">
        <w:rPr>
          <w:rFonts w:ascii="Arial" w:hAnsi="Arial" w:cs="Arial"/>
          <w:sz w:val="28"/>
          <w:szCs w:val="28"/>
        </w:rPr>
        <w:t xml:space="preserve">. </w:t>
      </w:r>
    </w:p>
    <w:p w:rsidR="002A6942" w:rsidRDefault="002A14D6" w:rsidP="00F329EC">
      <w:pPr>
        <w:pStyle w:val="NormalWeb"/>
        <w:shd w:val="clear" w:color="auto" w:fill="FFFFFF"/>
        <w:spacing w:before="0" w:beforeAutospacing="0" w:after="240" w:afterAutospacing="0"/>
        <w:ind w:right="-1"/>
        <w:rPr>
          <w:rFonts w:ascii="Arial" w:hAnsi="Arial" w:cs="Arial"/>
          <w:sz w:val="28"/>
          <w:szCs w:val="28"/>
        </w:rPr>
      </w:pPr>
      <w:r>
        <w:rPr>
          <w:rFonts w:ascii="Arial" w:hAnsi="Arial" w:cs="Arial"/>
          <w:sz w:val="28"/>
          <w:szCs w:val="28"/>
        </w:rPr>
        <w:t>A</w:t>
      </w:r>
      <w:r w:rsidR="009D4EF0">
        <w:rPr>
          <w:rFonts w:ascii="Arial" w:hAnsi="Arial" w:cs="Arial"/>
          <w:sz w:val="28"/>
          <w:szCs w:val="28"/>
        </w:rPr>
        <w:t xml:space="preserve">s much as the NDIS may change the landscape, </w:t>
      </w:r>
      <w:r>
        <w:rPr>
          <w:rFonts w:ascii="Arial" w:hAnsi="Arial" w:cs="Arial"/>
          <w:sz w:val="28"/>
          <w:szCs w:val="28"/>
        </w:rPr>
        <w:t xml:space="preserve">then, </w:t>
      </w:r>
      <w:r w:rsidR="009D4EF0">
        <w:rPr>
          <w:rFonts w:ascii="Arial" w:hAnsi="Arial" w:cs="Arial"/>
          <w:sz w:val="28"/>
          <w:szCs w:val="28"/>
        </w:rPr>
        <w:t xml:space="preserve">advocates will still need to be on the scene. </w:t>
      </w:r>
      <w:r w:rsidR="002C77B6">
        <w:rPr>
          <w:rFonts w:ascii="Arial" w:hAnsi="Arial" w:cs="Arial"/>
          <w:sz w:val="28"/>
          <w:szCs w:val="28"/>
        </w:rPr>
        <w:t>For w</w:t>
      </w:r>
      <w:r w:rsidR="009D4EF0">
        <w:rPr>
          <w:rFonts w:ascii="Arial" w:hAnsi="Arial" w:cs="Arial"/>
          <w:sz w:val="28"/>
          <w:szCs w:val="28"/>
        </w:rPr>
        <w:t>e cannot assume that choice alone is enough</w:t>
      </w:r>
      <w:r w:rsidR="00332A11">
        <w:rPr>
          <w:rFonts w:ascii="Arial" w:hAnsi="Arial" w:cs="Arial"/>
          <w:sz w:val="28"/>
          <w:szCs w:val="28"/>
        </w:rPr>
        <w:t>, nor that there won’t</w:t>
      </w:r>
      <w:r w:rsidR="009D4EF0">
        <w:rPr>
          <w:rFonts w:ascii="Arial" w:hAnsi="Arial" w:cs="Arial"/>
          <w:sz w:val="28"/>
          <w:szCs w:val="28"/>
        </w:rPr>
        <w:t xml:space="preserve"> be situations in which choice has very little to do with it. </w:t>
      </w:r>
    </w:p>
    <w:p w:rsidR="00A94948" w:rsidRDefault="002C77B6" w:rsidP="00F329EC">
      <w:pPr>
        <w:pStyle w:val="NormalWeb"/>
        <w:shd w:val="clear" w:color="auto" w:fill="FFFFFF"/>
        <w:spacing w:before="0" w:beforeAutospacing="0" w:after="240" w:afterAutospacing="0"/>
        <w:ind w:right="-1"/>
        <w:rPr>
          <w:rFonts w:ascii="Arial" w:hAnsi="Arial" w:cs="Arial"/>
          <w:sz w:val="28"/>
          <w:szCs w:val="28"/>
        </w:rPr>
      </w:pPr>
      <w:r>
        <w:rPr>
          <w:rFonts w:ascii="Arial" w:hAnsi="Arial" w:cs="Arial"/>
          <w:sz w:val="28"/>
          <w:szCs w:val="28"/>
        </w:rPr>
        <w:t>In fact, before I</w:t>
      </w:r>
      <w:r w:rsidR="00B973D3">
        <w:rPr>
          <w:rFonts w:ascii="Arial" w:hAnsi="Arial" w:cs="Arial"/>
          <w:sz w:val="28"/>
          <w:szCs w:val="28"/>
        </w:rPr>
        <w:t xml:space="preserve"> end today, I would like to show you</w:t>
      </w:r>
      <w:r w:rsidR="00332A11">
        <w:rPr>
          <w:rFonts w:ascii="Arial" w:hAnsi="Arial" w:cs="Arial"/>
          <w:sz w:val="28"/>
          <w:szCs w:val="28"/>
        </w:rPr>
        <w:t xml:space="preserve"> a reminder of such a situation – a story with which you may </w:t>
      </w:r>
      <w:r w:rsidR="00B973D3">
        <w:rPr>
          <w:rFonts w:ascii="Arial" w:hAnsi="Arial" w:cs="Arial"/>
          <w:sz w:val="28"/>
          <w:szCs w:val="28"/>
        </w:rPr>
        <w:t xml:space="preserve">already </w:t>
      </w:r>
      <w:r w:rsidR="00332A11">
        <w:rPr>
          <w:rFonts w:ascii="Arial" w:hAnsi="Arial" w:cs="Arial"/>
          <w:sz w:val="28"/>
          <w:szCs w:val="28"/>
        </w:rPr>
        <w:t>be familiar and in which the disabling effects of the justic</w:t>
      </w:r>
      <w:r w:rsidR="002A14D6">
        <w:rPr>
          <w:rFonts w:ascii="Arial" w:hAnsi="Arial" w:cs="Arial"/>
          <w:sz w:val="28"/>
          <w:szCs w:val="28"/>
        </w:rPr>
        <w:t>e system, in this case, are made</w:t>
      </w:r>
      <w:r w:rsidR="00332A11">
        <w:rPr>
          <w:rFonts w:ascii="Arial" w:hAnsi="Arial" w:cs="Arial"/>
          <w:sz w:val="28"/>
          <w:szCs w:val="28"/>
        </w:rPr>
        <w:t xml:space="preserve"> all too clear. </w:t>
      </w:r>
    </w:p>
    <w:p w:rsidR="00DC7769" w:rsidRDefault="00F329EC" w:rsidP="00DC7769">
      <w:pPr>
        <w:pStyle w:val="NormalWeb"/>
        <w:pageBreakBefore/>
        <w:shd w:val="clear" w:color="auto" w:fill="FFFFFF"/>
        <w:spacing w:before="0" w:beforeAutospacing="0" w:after="240" w:afterAutospacing="0"/>
        <w:rPr>
          <w:rFonts w:ascii="Arial" w:hAnsi="Arial" w:cs="Arial"/>
          <w:sz w:val="22"/>
          <w:szCs w:val="28"/>
        </w:rPr>
      </w:pPr>
      <w:r w:rsidRPr="00F329EC">
        <w:rPr>
          <w:rFonts w:ascii="Arial" w:hAnsi="Arial" w:cs="Arial"/>
          <w:sz w:val="28"/>
          <w:szCs w:val="28"/>
        </w:rPr>
        <w:lastRenderedPageBreak/>
        <w:t>Marlon’s story</w:t>
      </w:r>
    </w:p>
    <w:p w:rsidR="00F329EC" w:rsidRPr="00F329EC" w:rsidRDefault="00F329EC" w:rsidP="00F329EC">
      <w:pPr>
        <w:pStyle w:val="NormalWeb"/>
        <w:shd w:val="clear" w:color="auto" w:fill="FFFFFF"/>
        <w:spacing w:before="0" w:beforeAutospacing="0" w:after="240" w:afterAutospacing="0"/>
        <w:ind w:right="-1"/>
        <w:rPr>
          <w:rFonts w:ascii="Arial" w:hAnsi="Arial" w:cs="Arial"/>
          <w:sz w:val="22"/>
          <w:szCs w:val="28"/>
        </w:rPr>
      </w:pPr>
      <w:hyperlink r:id="rId9" w:history="1">
        <w:r w:rsidRPr="00F329EC">
          <w:rPr>
            <w:rStyle w:val="Hyperlink"/>
            <w:rFonts w:ascii="Arial" w:hAnsi="Arial" w:cs="Arial"/>
            <w:sz w:val="22"/>
            <w:szCs w:val="28"/>
          </w:rPr>
          <w:t>http://www.humanrights.gov.au/twentystories/video-presumed-guilty.html</w:t>
        </w:r>
      </w:hyperlink>
    </w:p>
    <w:p w:rsidR="00AD6A6C" w:rsidRDefault="002C77B6" w:rsidP="00F329EC">
      <w:pPr>
        <w:pStyle w:val="NormalWeb"/>
        <w:shd w:val="clear" w:color="auto" w:fill="FFFFFF"/>
        <w:spacing w:before="0" w:beforeAutospacing="0" w:after="240" w:afterAutospacing="0"/>
        <w:ind w:right="-1"/>
        <w:rPr>
          <w:rFonts w:ascii="Arial" w:hAnsi="Arial" w:cs="Arial"/>
          <w:sz w:val="28"/>
          <w:szCs w:val="28"/>
        </w:rPr>
      </w:pPr>
      <w:r>
        <w:rPr>
          <w:rFonts w:ascii="Arial" w:hAnsi="Arial" w:cs="Arial"/>
          <w:sz w:val="28"/>
          <w:szCs w:val="28"/>
        </w:rPr>
        <w:t>Marlon’s case speaks of ongoing and structural failure on multiple levels</w:t>
      </w:r>
      <w:r w:rsidR="00AF512B">
        <w:rPr>
          <w:rFonts w:ascii="Arial" w:hAnsi="Arial" w:cs="Arial"/>
          <w:sz w:val="28"/>
          <w:szCs w:val="28"/>
        </w:rPr>
        <w:t xml:space="preserve"> – abandoned by the system because of his impairment, yet deemed ineligible for support</w:t>
      </w:r>
      <w:r>
        <w:rPr>
          <w:rFonts w:ascii="Arial" w:hAnsi="Arial" w:cs="Arial"/>
          <w:sz w:val="28"/>
          <w:szCs w:val="28"/>
        </w:rPr>
        <w:t xml:space="preserve">. </w:t>
      </w:r>
      <w:r w:rsidR="006C615A">
        <w:rPr>
          <w:rFonts w:ascii="Arial" w:hAnsi="Arial" w:cs="Arial"/>
          <w:sz w:val="28"/>
          <w:szCs w:val="28"/>
        </w:rPr>
        <w:t xml:space="preserve">No doubt </w:t>
      </w:r>
      <w:r w:rsidR="002A14D6">
        <w:rPr>
          <w:rFonts w:ascii="Arial" w:hAnsi="Arial" w:cs="Arial"/>
          <w:sz w:val="28"/>
          <w:szCs w:val="28"/>
        </w:rPr>
        <w:t xml:space="preserve">many people spoke up for Marlon at the time. </w:t>
      </w:r>
      <w:r>
        <w:rPr>
          <w:rFonts w:ascii="Arial" w:hAnsi="Arial" w:cs="Arial"/>
          <w:sz w:val="28"/>
          <w:szCs w:val="28"/>
        </w:rPr>
        <w:t xml:space="preserve">For the purposes of today, however, </w:t>
      </w:r>
      <w:r w:rsidR="006C615A">
        <w:rPr>
          <w:rFonts w:ascii="Arial" w:hAnsi="Arial" w:cs="Arial"/>
          <w:sz w:val="28"/>
          <w:szCs w:val="28"/>
        </w:rPr>
        <w:t>it is reasonable to wonder</w:t>
      </w:r>
      <w:r w:rsidR="001368B3">
        <w:rPr>
          <w:rFonts w:ascii="Arial" w:hAnsi="Arial" w:cs="Arial"/>
          <w:sz w:val="28"/>
          <w:szCs w:val="28"/>
        </w:rPr>
        <w:t xml:space="preserve"> whether </w:t>
      </w:r>
      <w:r w:rsidR="00B973D3">
        <w:rPr>
          <w:rFonts w:ascii="Arial" w:hAnsi="Arial" w:cs="Arial"/>
          <w:sz w:val="28"/>
          <w:szCs w:val="28"/>
        </w:rPr>
        <w:t xml:space="preserve">more </w:t>
      </w:r>
      <w:r w:rsidR="002A14D6">
        <w:rPr>
          <w:rFonts w:ascii="Arial" w:hAnsi="Arial" w:cs="Arial"/>
          <w:sz w:val="28"/>
          <w:szCs w:val="28"/>
        </w:rPr>
        <w:t xml:space="preserve">formal </w:t>
      </w:r>
      <w:r>
        <w:rPr>
          <w:rFonts w:ascii="Arial" w:hAnsi="Arial" w:cs="Arial"/>
          <w:sz w:val="28"/>
          <w:szCs w:val="28"/>
        </w:rPr>
        <w:t xml:space="preserve">advocacy could have made a difference </w:t>
      </w:r>
      <w:r w:rsidR="00AF512B">
        <w:rPr>
          <w:rFonts w:ascii="Arial" w:hAnsi="Arial" w:cs="Arial"/>
          <w:sz w:val="28"/>
          <w:szCs w:val="28"/>
        </w:rPr>
        <w:t xml:space="preserve">to Marlon’s circumstances </w:t>
      </w:r>
      <w:r>
        <w:rPr>
          <w:rFonts w:ascii="Arial" w:hAnsi="Arial" w:cs="Arial"/>
          <w:sz w:val="28"/>
          <w:szCs w:val="28"/>
        </w:rPr>
        <w:t xml:space="preserve">at the outset. </w:t>
      </w:r>
      <w:r w:rsidR="006C615A">
        <w:rPr>
          <w:rFonts w:ascii="Arial" w:hAnsi="Arial" w:cs="Arial"/>
          <w:sz w:val="28"/>
          <w:szCs w:val="28"/>
        </w:rPr>
        <w:t>As it is, Ida’s informal advocacy – the simple act of talking to people, of asking questions – led, at least, to Marlo</w:t>
      </w:r>
      <w:r w:rsidR="00B973D3">
        <w:rPr>
          <w:rFonts w:ascii="Arial" w:hAnsi="Arial" w:cs="Arial"/>
          <w:sz w:val="28"/>
          <w:szCs w:val="28"/>
        </w:rPr>
        <w:t>n’s release, if not to his</w:t>
      </w:r>
      <w:r w:rsidR="006C615A">
        <w:rPr>
          <w:rFonts w:ascii="Arial" w:hAnsi="Arial" w:cs="Arial"/>
          <w:sz w:val="28"/>
          <w:szCs w:val="28"/>
        </w:rPr>
        <w:t xml:space="preserve"> freedom. </w:t>
      </w:r>
      <w:r w:rsidR="00794264">
        <w:rPr>
          <w:rFonts w:ascii="Arial" w:hAnsi="Arial" w:cs="Arial"/>
          <w:sz w:val="28"/>
          <w:szCs w:val="28"/>
        </w:rPr>
        <w:t>As many of you know informal advocacy carried out by people such as Ida is by far the most commonly experienced advocacy by people with disability and I suggest</w:t>
      </w:r>
      <w:r w:rsidR="00C921FC">
        <w:rPr>
          <w:rFonts w:ascii="Arial" w:hAnsi="Arial" w:cs="Arial"/>
          <w:sz w:val="28"/>
          <w:szCs w:val="28"/>
        </w:rPr>
        <w:t xml:space="preserve"> that at times</w:t>
      </w:r>
      <w:r w:rsidR="00794264">
        <w:rPr>
          <w:rFonts w:ascii="Arial" w:hAnsi="Arial" w:cs="Arial"/>
          <w:sz w:val="28"/>
          <w:szCs w:val="28"/>
        </w:rPr>
        <w:t xml:space="preserve"> informal advocacy potentially is the most powerful form of advocacy.</w:t>
      </w:r>
    </w:p>
    <w:p w:rsidR="00474656" w:rsidRPr="00F329EC" w:rsidRDefault="00AD6A6C" w:rsidP="00F329EC">
      <w:pPr>
        <w:pStyle w:val="Heading1"/>
        <w:spacing w:before="0" w:after="240"/>
      </w:pPr>
      <w:r w:rsidRPr="00F329EC">
        <w:t>Conclusion</w:t>
      </w:r>
    </w:p>
    <w:p w:rsidR="006C615A" w:rsidRDefault="00887C7F" w:rsidP="00F329EC">
      <w:pPr>
        <w:spacing w:after="240" w:line="240" w:lineRule="auto"/>
        <w:ind w:right="-1"/>
        <w:rPr>
          <w:rFonts w:ascii="Arial" w:hAnsi="Arial" w:cs="Arial"/>
          <w:sz w:val="28"/>
          <w:szCs w:val="28"/>
        </w:rPr>
      </w:pPr>
      <w:r>
        <w:rPr>
          <w:rFonts w:ascii="Arial" w:hAnsi="Arial" w:cs="Arial"/>
          <w:sz w:val="28"/>
          <w:szCs w:val="28"/>
        </w:rPr>
        <w:t>Marlon’s case is another reminder that the</w:t>
      </w:r>
      <w:r w:rsidR="006C615A">
        <w:rPr>
          <w:rFonts w:ascii="Arial" w:hAnsi="Arial" w:cs="Arial"/>
          <w:sz w:val="28"/>
          <w:szCs w:val="28"/>
        </w:rPr>
        <w:t xml:space="preserve"> difference between the </w:t>
      </w:r>
      <w:proofErr w:type="gramStart"/>
      <w:r w:rsidR="006C615A">
        <w:rPr>
          <w:rFonts w:ascii="Arial" w:hAnsi="Arial" w:cs="Arial"/>
          <w:sz w:val="28"/>
          <w:szCs w:val="28"/>
        </w:rPr>
        <w:t>absenc</w:t>
      </w:r>
      <w:r>
        <w:rPr>
          <w:rFonts w:ascii="Arial" w:hAnsi="Arial" w:cs="Arial"/>
          <w:sz w:val="28"/>
          <w:szCs w:val="28"/>
        </w:rPr>
        <w:t>e</w:t>
      </w:r>
      <w:proofErr w:type="gramEnd"/>
      <w:r>
        <w:rPr>
          <w:rFonts w:ascii="Arial" w:hAnsi="Arial" w:cs="Arial"/>
          <w:sz w:val="28"/>
          <w:szCs w:val="28"/>
        </w:rPr>
        <w:t xml:space="preserve"> and presence of advocacy </w:t>
      </w:r>
      <w:r w:rsidR="006C615A">
        <w:rPr>
          <w:rFonts w:ascii="Arial" w:hAnsi="Arial" w:cs="Arial"/>
          <w:sz w:val="28"/>
          <w:szCs w:val="28"/>
        </w:rPr>
        <w:t xml:space="preserve">can be profound.  Sometimes it can involve seemingly small </w:t>
      </w:r>
      <w:r w:rsidR="002A14D6">
        <w:rPr>
          <w:rFonts w:ascii="Arial" w:hAnsi="Arial" w:cs="Arial"/>
          <w:sz w:val="28"/>
          <w:szCs w:val="28"/>
        </w:rPr>
        <w:t>act</w:t>
      </w:r>
      <w:r w:rsidR="006C615A">
        <w:rPr>
          <w:rFonts w:ascii="Arial" w:hAnsi="Arial" w:cs="Arial"/>
          <w:sz w:val="28"/>
          <w:szCs w:val="28"/>
        </w:rPr>
        <w:t xml:space="preserve">s, such as phone calls or letters. Sometimes it </w:t>
      </w:r>
      <w:r w:rsidR="002A14D6">
        <w:rPr>
          <w:rFonts w:ascii="Arial" w:hAnsi="Arial" w:cs="Arial"/>
          <w:sz w:val="28"/>
          <w:szCs w:val="28"/>
        </w:rPr>
        <w:t xml:space="preserve">simply </w:t>
      </w:r>
      <w:r w:rsidR="00B973D3">
        <w:rPr>
          <w:rFonts w:ascii="Arial" w:hAnsi="Arial" w:cs="Arial"/>
          <w:sz w:val="28"/>
          <w:szCs w:val="28"/>
        </w:rPr>
        <w:t>involves</w:t>
      </w:r>
      <w:r w:rsidR="006C615A">
        <w:rPr>
          <w:rFonts w:ascii="Arial" w:hAnsi="Arial" w:cs="Arial"/>
          <w:sz w:val="28"/>
          <w:szCs w:val="28"/>
        </w:rPr>
        <w:t xml:space="preserve"> drawing a line in the sand – someone to say ‘this situation isn’t good enough’, to point out that service providers and justice systems alike have </w:t>
      </w:r>
      <w:r>
        <w:rPr>
          <w:rFonts w:ascii="Arial" w:hAnsi="Arial" w:cs="Arial"/>
          <w:sz w:val="28"/>
          <w:szCs w:val="28"/>
        </w:rPr>
        <w:t xml:space="preserve">fundamental </w:t>
      </w:r>
      <w:r w:rsidR="006C615A">
        <w:rPr>
          <w:rFonts w:ascii="Arial" w:hAnsi="Arial" w:cs="Arial"/>
          <w:sz w:val="28"/>
          <w:szCs w:val="28"/>
        </w:rPr>
        <w:t xml:space="preserve">obligations, </w:t>
      </w:r>
      <w:r>
        <w:rPr>
          <w:rFonts w:ascii="Arial" w:hAnsi="Arial" w:cs="Arial"/>
          <w:sz w:val="28"/>
          <w:szCs w:val="28"/>
        </w:rPr>
        <w:t xml:space="preserve">and </w:t>
      </w:r>
      <w:r w:rsidR="006C615A">
        <w:rPr>
          <w:rFonts w:ascii="Arial" w:hAnsi="Arial" w:cs="Arial"/>
          <w:sz w:val="28"/>
          <w:szCs w:val="28"/>
        </w:rPr>
        <w:t xml:space="preserve">that individuals have </w:t>
      </w:r>
      <w:r>
        <w:rPr>
          <w:rFonts w:ascii="Arial" w:hAnsi="Arial" w:cs="Arial"/>
          <w:sz w:val="28"/>
          <w:szCs w:val="28"/>
        </w:rPr>
        <w:t xml:space="preserve">corresponding </w:t>
      </w:r>
      <w:r w:rsidR="006C615A">
        <w:rPr>
          <w:rFonts w:ascii="Arial" w:hAnsi="Arial" w:cs="Arial"/>
          <w:sz w:val="28"/>
          <w:szCs w:val="28"/>
        </w:rPr>
        <w:t xml:space="preserve">rights. </w:t>
      </w:r>
    </w:p>
    <w:p w:rsidR="00887C7F" w:rsidRDefault="00887C7F" w:rsidP="00F329EC">
      <w:pPr>
        <w:spacing w:after="240" w:line="240" w:lineRule="auto"/>
        <w:ind w:right="-1"/>
        <w:rPr>
          <w:rFonts w:ascii="Arial" w:hAnsi="Arial" w:cs="Arial"/>
          <w:sz w:val="28"/>
          <w:szCs w:val="28"/>
        </w:rPr>
      </w:pPr>
      <w:r>
        <w:rPr>
          <w:rFonts w:ascii="Arial" w:hAnsi="Arial" w:cs="Arial"/>
          <w:sz w:val="28"/>
          <w:szCs w:val="28"/>
        </w:rPr>
        <w:t>Always, however, the role of ad</w:t>
      </w:r>
      <w:r w:rsidR="00B973D3">
        <w:rPr>
          <w:rFonts w:ascii="Arial" w:hAnsi="Arial" w:cs="Arial"/>
          <w:sz w:val="28"/>
          <w:szCs w:val="28"/>
        </w:rPr>
        <w:t>vocates is not just to draw attention to</w:t>
      </w:r>
      <w:r>
        <w:rPr>
          <w:rFonts w:ascii="Arial" w:hAnsi="Arial" w:cs="Arial"/>
          <w:sz w:val="28"/>
          <w:szCs w:val="28"/>
        </w:rPr>
        <w:t xml:space="preserve"> these rights and obligations but to build a bridge in terms of how they might be realised – illustrating that </w:t>
      </w:r>
      <w:r w:rsidR="00474656">
        <w:rPr>
          <w:rFonts w:ascii="Arial" w:hAnsi="Arial" w:cs="Arial"/>
          <w:sz w:val="28"/>
          <w:szCs w:val="28"/>
        </w:rPr>
        <w:t>these seemingly distan</w:t>
      </w:r>
      <w:r w:rsidR="001368B3">
        <w:rPr>
          <w:rFonts w:ascii="Arial" w:hAnsi="Arial" w:cs="Arial"/>
          <w:sz w:val="28"/>
          <w:szCs w:val="28"/>
        </w:rPr>
        <w:t xml:space="preserve">t </w:t>
      </w:r>
      <w:r>
        <w:rPr>
          <w:rFonts w:ascii="Arial" w:hAnsi="Arial" w:cs="Arial"/>
          <w:sz w:val="28"/>
          <w:szCs w:val="28"/>
        </w:rPr>
        <w:t xml:space="preserve">principles can manifest in very real terms. </w:t>
      </w:r>
    </w:p>
    <w:p w:rsidR="00474656" w:rsidRDefault="00887C7F" w:rsidP="00F329EC">
      <w:pPr>
        <w:spacing w:after="240" w:line="240" w:lineRule="auto"/>
        <w:ind w:right="-1"/>
        <w:rPr>
          <w:rFonts w:ascii="Arial" w:hAnsi="Arial" w:cs="Arial"/>
          <w:sz w:val="28"/>
          <w:szCs w:val="28"/>
        </w:rPr>
      </w:pPr>
      <w:r>
        <w:rPr>
          <w:rFonts w:ascii="Arial" w:hAnsi="Arial" w:cs="Arial"/>
          <w:sz w:val="28"/>
          <w:szCs w:val="28"/>
        </w:rPr>
        <w:t>Too often policy makers, se</w:t>
      </w:r>
      <w:r w:rsidR="00BE30F9">
        <w:rPr>
          <w:rFonts w:ascii="Arial" w:hAnsi="Arial" w:cs="Arial"/>
          <w:sz w:val="28"/>
          <w:szCs w:val="28"/>
        </w:rPr>
        <w:t>rvice providers, lawyers</w:t>
      </w:r>
      <w:r>
        <w:rPr>
          <w:rFonts w:ascii="Arial" w:hAnsi="Arial" w:cs="Arial"/>
          <w:sz w:val="28"/>
          <w:szCs w:val="28"/>
        </w:rPr>
        <w:t xml:space="preserve"> and advocates alike can forget to fashion this bridge, speaking about rights in theory without </w:t>
      </w:r>
      <w:r w:rsidR="00474656">
        <w:rPr>
          <w:rFonts w:ascii="Arial" w:hAnsi="Arial" w:cs="Arial"/>
          <w:sz w:val="28"/>
          <w:szCs w:val="28"/>
        </w:rPr>
        <w:t>highlighting their practic</w:t>
      </w:r>
      <w:r>
        <w:rPr>
          <w:rFonts w:ascii="Arial" w:hAnsi="Arial" w:cs="Arial"/>
          <w:sz w:val="28"/>
          <w:szCs w:val="28"/>
        </w:rPr>
        <w:t>al applications, or f</w:t>
      </w:r>
      <w:r w:rsidR="00474656">
        <w:rPr>
          <w:rFonts w:ascii="Arial" w:hAnsi="Arial" w:cs="Arial"/>
          <w:sz w:val="28"/>
          <w:szCs w:val="28"/>
        </w:rPr>
        <w:t>orget</w:t>
      </w:r>
      <w:r>
        <w:rPr>
          <w:rFonts w:ascii="Arial" w:hAnsi="Arial" w:cs="Arial"/>
          <w:sz w:val="28"/>
          <w:szCs w:val="28"/>
        </w:rPr>
        <w:t>ting</w:t>
      </w:r>
      <w:r w:rsidR="00474656">
        <w:rPr>
          <w:rFonts w:ascii="Arial" w:hAnsi="Arial" w:cs="Arial"/>
          <w:sz w:val="28"/>
          <w:szCs w:val="28"/>
        </w:rPr>
        <w:t xml:space="preserve"> that our very practical claims are based on </w:t>
      </w:r>
      <w:r w:rsidR="002A14D6">
        <w:rPr>
          <w:rFonts w:ascii="Arial" w:hAnsi="Arial" w:cs="Arial"/>
          <w:sz w:val="28"/>
          <w:szCs w:val="28"/>
        </w:rPr>
        <w:t>a fundamental bottom line</w:t>
      </w:r>
      <w:r w:rsidR="00474656">
        <w:rPr>
          <w:rFonts w:ascii="Arial" w:hAnsi="Arial" w:cs="Arial"/>
          <w:sz w:val="28"/>
          <w:szCs w:val="28"/>
        </w:rPr>
        <w:t xml:space="preserve">. </w:t>
      </w:r>
    </w:p>
    <w:p w:rsidR="00BE30F9" w:rsidRDefault="002A14D6" w:rsidP="00F329EC">
      <w:pPr>
        <w:spacing w:after="240" w:line="240" w:lineRule="auto"/>
        <w:ind w:right="-1"/>
        <w:rPr>
          <w:rFonts w:ascii="Arial" w:hAnsi="Arial" w:cs="Arial"/>
          <w:sz w:val="28"/>
          <w:szCs w:val="28"/>
        </w:rPr>
      </w:pPr>
      <w:r>
        <w:rPr>
          <w:rFonts w:ascii="Arial" w:hAnsi="Arial" w:cs="Arial"/>
          <w:sz w:val="28"/>
          <w:szCs w:val="28"/>
        </w:rPr>
        <w:t>This bottom line</w:t>
      </w:r>
      <w:r w:rsidR="00B973D3">
        <w:rPr>
          <w:rFonts w:ascii="Arial" w:hAnsi="Arial" w:cs="Arial"/>
          <w:sz w:val="28"/>
          <w:szCs w:val="28"/>
        </w:rPr>
        <w:t>, however,</w:t>
      </w:r>
      <w:r>
        <w:rPr>
          <w:rFonts w:ascii="Arial" w:hAnsi="Arial" w:cs="Arial"/>
          <w:sz w:val="28"/>
          <w:szCs w:val="28"/>
        </w:rPr>
        <w:t xml:space="preserve"> </w:t>
      </w:r>
      <w:r w:rsidR="00BE30F9">
        <w:rPr>
          <w:rFonts w:ascii="Arial" w:hAnsi="Arial" w:cs="Arial"/>
          <w:sz w:val="28"/>
          <w:szCs w:val="28"/>
        </w:rPr>
        <w:t xml:space="preserve">is the very thing that can unite us. It provides a framework in which individuals with disabilities can measure their entitlements; in which agencies </w:t>
      </w:r>
      <w:r w:rsidR="006951B1">
        <w:rPr>
          <w:rFonts w:ascii="Arial" w:hAnsi="Arial" w:cs="Arial"/>
          <w:sz w:val="28"/>
          <w:szCs w:val="28"/>
        </w:rPr>
        <w:t xml:space="preserve">- </w:t>
      </w:r>
      <w:r w:rsidR="00BE30F9">
        <w:rPr>
          <w:rFonts w:ascii="Arial" w:hAnsi="Arial" w:cs="Arial"/>
          <w:sz w:val="28"/>
          <w:szCs w:val="28"/>
        </w:rPr>
        <w:t>from the Department of Housing, to non-government support serv</w:t>
      </w:r>
      <w:r w:rsidR="006951B1">
        <w:rPr>
          <w:rFonts w:ascii="Arial" w:hAnsi="Arial" w:cs="Arial"/>
          <w:sz w:val="28"/>
          <w:szCs w:val="28"/>
        </w:rPr>
        <w:t>ices and the wider legal system -</w:t>
      </w:r>
      <w:r w:rsidR="00BE30F9">
        <w:rPr>
          <w:rFonts w:ascii="Arial" w:hAnsi="Arial" w:cs="Arial"/>
          <w:sz w:val="28"/>
          <w:szCs w:val="28"/>
        </w:rPr>
        <w:t xml:space="preserve"> must conduct their work; and in which advocates of every kind can hold them to account. </w:t>
      </w:r>
    </w:p>
    <w:p w:rsidR="002A14D6" w:rsidRDefault="002A14D6" w:rsidP="00F329EC">
      <w:pPr>
        <w:spacing w:after="240" w:line="240" w:lineRule="auto"/>
        <w:ind w:right="-1"/>
        <w:rPr>
          <w:rFonts w:ascii="Arial" w:hAnsi="Arial" w:cs="Arial"/>
          <w:sz w:val="28"/>
          <w:szCs w:val="28"/>
        </w:rPr>
      </w:pPr>
      <w:r>
        <w:rPr>
          <w:rFonts w:ascii="Arial" w:hAnsi="Arial" w:cs="Arial"/>
          <w:sz w:val="28"/>
          <w:szCs w:val="28"/>
        </w:rPr>
        <w:lastRenderedPageBreak/>
        <w:t xml:space="preserve">In short, it provides a foundation on which all of us can stand – confident in our claims and expectations, lending greater strength to that valuable bridge that advocacy can build. </w:t>
      </w:r>
      <w:r w:rsidR="00B973D3">
        <w:rPr>
          <w:rFonts w:ascii="Arial" w:hAnsi="Arial" w:cs="Arial"/>
          <w:sz w:val="28"/>
          <w:szCs w:val="28"/>
        </w:rPr>
        <w:t xml:space="preserve">I commend you all for the work that you continue to do every day and urge you to keep building that bridge, one rights based brick at a time. </w:t>
      </w:r>
    </w:p>
    <w:p w:rsidR="00B973D3" w:rsidRDefault="00B973D3" w:rsidP="00F329EC">
      <w:pPr>
        <w:spacing w:after="240" w:line="240" w:lineRule="auto"/>
        <w:ind w:right="-1"/>
        <w:rPr>
          <w:rFonts w:ascii="Arial" w:hAnsi="Arial" w:cs="Arial"/>
          <w:sz w:val="28"/>
          <w:szCs w:val="28"/>
        </w:rPr>
      </w:pPr>
      <w:r>
        <w:rPr>
          <w:rFonts w:ascii="Arial" w:hAnsi="Arial" w:cs="Arial"/>
          <w:sz w:val="28"/>
          <w:szCs w:val="28"/>
        </w:rPr>
        <w:t>Thank you.</w:t>
      </w:r>
    </w:p>
    <w:sectPr w:rsidR="00B973D3" w:rsidSect="00BD2755">
      <w:footerReference w:type="default" r:id="rId10"/>
      <w:pgSz w:w="11906" w:h="16838"/>
      <w:pgMar w:top="1440" w:right="1558"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D27" w:rsidRDefault="00955D27" w:rsidP="00EF05C7">
      <w:pPr>
        <w:spacing w:after="0" w:line="240" w:lineRule="auto"/>
      </w:pPr>
      <w:r>
        <w:separator/>
      </w:r>
    </w:p>
  </w:endnote>
  <w:endnote w:type="continuationSeparator" w:id="0">
    <w:p w:rsidR="00955D27" w:rsidRDefault="00955D27" w:rsidP="00EF05C7">
      <w:pPr>
        <w:spacing w:after="0" w:line="240" w:lineRule="auto"/>
      </w:pPr>
      <w:r>
        <w:continuationSeparator/>
      </w:r>
    </w:p>
  </w:endnote>
  <w:endnote w:id="1">
    <w:p w:rsidR="00955D27" w:rsidRPr="00FA4BAE" w:rsidRDefault="00955D27" w:rsidP="00FA4BA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193040"/>
      <w:docPartObj>
        <w:docPartGallery w:val="Page Numbers (Bottom of Page)"/>
        <w:docPartUnique/>
      </w:docPartObj>
    </w:sdtPr>
    <w:sdtEndPr>
      <w:rPr>
        <w:rFonts w:ascii="Arial" w:hAnsi="Arial" w:cs="Arial"/>
        <w:noProof/>
      </w:rPr>
    </w:sdtEndPr>
    <w:sdtContent>
      <w:p w:rsidR="00955D27" w:rsidRPr="00660194" w:rsidRDefault="00955D27">
        <w:pPr>
          <w:pStyle w:val="Footer"/>
          <w:jc w:val="right"/>
          <w:rPr>
            <w:rFonts w:ascii="Arial" w:hAnsi="Arial" w:cs="Arial"/>
          </w:rPr>
        </w:pPr>
        <w:r w:rsidRPr="00660194">
          <w:rPr>
            <w:rFonts w:ascii="Arial" w:hAnsi="Arial" w:cs="Arial"/>
          </w:rPr>
          <w:fldChar w:fldCharType="begin"/>
        </w:r>
        <w:r w:rsidRPr="00660194">
          <w:rPr>
            <w:rFonts w:ascii="Arial" w:hAnsi="Arial" w:cs="Arial"/>
          </w:rPr>
          <w:instrText xml:space="preserve"> PAGE   \* MERGEFORMAT </w:instrText>
        </w:r>
        <w:r w:rsidRPr="00660194">
          <w:rPr>
            <w:rFonts w:ascii="Arial" w:hAnsi="Arial" w:cs="Arial"/>
          </w:rPr>
          <w:fldChar w:fldCharType="separate"/>
        </w:r>
        <w:r w:rsidR="00F935B0">
          <w:rPr>
            <w:rFonts w:ascii="Arial" w:hAnsi="Arial" w:cs="Arial"/>
            <w:noProof/>
          </w:rPr>
          <w:t>2</w:t>
        </w:r>
        <w:r w:rsidRPr="00660194">
          <w:rPr>
            <w:rFonts w:ascii="Arial" w:hAnsi="Arial" w:cs="Arial"/>
            <w:noProof/>
          </w:rPr>
          <w:fldChar w:fldCharType="end"/>
        </w:r>
      </w:p>
    </w:sdtContent>
  </w:sdt>
  <w:p w:rsidR="00955D27" w:rsidRDefault="00955D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D27" w:rsidRDefault="00955D27" w:rsidP="00EF05C7">
      <w:pPr>
        <w:spacing w:after="0" w:line="240" w:lineRule="auto"/>
      </w:pPr>
      <w:r>
        <w:separator/>
      </w:r>
    </w:p>
  </w:footnote>
  <w:footnote w:type="continuationSeparator" w:id="0">
    <w:p w:rsidR="00955D27" w:rsidRDefault="00955D27" w:rsidP="00EF05C7">
      <w:pPr>
        <w:spacing w:after="0" w:line="240" w:lineRule="auto"/>
      </w:pPr>
      <w:r>
        <w:continuationSeparator/>
      </w:r>
    </w:p>
  </w:footnote>
  <w:footnote w:id="1">
    <w:p w:rsidR="00955D27" w:rsidRDefault="00955D27" w:rsidP="0079450B">
      <w:pPr>
        <w:pStyle w:val="FootnoteText"/>
        <w:tabs>
          <w:tab w:val="left" w:pos="284"/>
        </w:tabs>
      </w:pPr>
      <w:r>
        <w:rPr>
          <w:rStyle w:val="FootnoteReference"/>
        </w:rPr>
        <w:footnoteRef/>
      </w:r>
      <w:r>
        <w:t xml:space="preserve"> </w:t>
      </w:r>
      <w:r>
        <w:tab/>
      </w:r>
      <w:r w:rsidRPr="004D1C30">
        <w:rPr>
          <w:rFonts w:ascii="Arial" w:hAnsi="Arial" w:cs="Arial"/>
          <w:color w:val="333333"/>
          <w:sz w:val="18"/>
          <w:szCs w:val="18"/>
          <w:lang w:val="en"/>
        </w:rPr>
        <w:t>http://quotes.dictionary.com/Where_after_all_do_universal_human_rights_begin</w:t>
      </w:r>
    </w:p>
  </w:footnote>
  <w:footnote w:id="2">
    <w:p w:rsidR="00955D27" w:rsidRDefault="00955D27" w:rsidP="00660194">
      <w:pPr>
        <w:pStyle w:val="FootnoteText"/>
        <w:ind w:left="284" w:hanging="284"/>
      </w:pPr>
      <w:r>
        <w:rPr>
          <w:rStyle w:val="FootnoteReference"/>
        </w:rPr>
        <w:footnoteRef/>
      </w:r>
      <w:r>
        <w:t xml:space="preserve"> </w:t>
      </w:r>
      <w:r>
        <w:tab/>
      </w:r>
      <w:proofErr w:type="gramStart"/>
      <w:r>
        <w:t xml:space="preserve">Extracts from </w:t>
      </w:r>
      <w:r>
        <w:rPr>
          <w:i/>
        </w:rPr>
        <w:t xml:space="preserve">Violence Against People with Disabilities: Seminar Proceedings, </w:t>
      </w:r>
      <w:r>
        <w:t>29 November 2004.</w:t>
      </w:r>
      <w:proofErr w:type="gramEnd"/>
      <w:r>
        <w:t xml:space="preserve"> Available at </w:t>
      </w:r>
      <w:hyperlink r:id="rId1" w:history="1">
        <w:r w:rsidRPr="00374CC8">
          <w:rPr>
            <w:rStyle w:val="Hyperlink"/>
          </w:rPr>
          <w:t>http://www.nda.ie/cntmgmtnew.nsf/0/BE967D49F3E2CD488025707B004C4016?OpenDocument</w:t>
        </w:r>
      </w:hyperlink>
    </w:p>
  </w:footnote>
  <w:footnote w:id="3">
    <w:p w:rsidR="00955D27" w:rsidRDefault="00955D27" w:rsidP="00660194">
      <w:pPr>
        <w:pStyle w:val="FootnoteText"/>
        <w:tabs>
          <w:tab w:val="left" w:pos="284"/>
        </w:tabs>
        <w:ind w:left="284" w:hanging="284"/>
      </w:pPr>
      <w:r>
        <w:rPr>
          <w:rStyle w:val="FootnoteReference"/>
        </w:rPr>
        <w:footnoteRef/>
      </w:r>
      <w:r>
        <w:t xml:space="preserve"> </w:t>
      </w:r>
      <w:r>
        <w:tab/>
        <w:t xml:space="preserve">Women with Disabilities Australia, Submission to the Preparation Phase of the UN Analytical Study on Violence against Women and Girls with Disabilities, December 2011. See  </w:t>
      </w:r>
      <w:hyperlink r:id="rId2" w:history="1">
        <w:r w:rsidRPr="003B75E8">
          <w:rPr>
            <w:rStyle w:val="Hyperlink"/>
          </w:rPr>
          <w:t>http://www.wwda.org.au/subs2011.htm</w:t>
        </w:r>
      </w:hyperlink>
    </w:p>
  </w:footnote>
  <w:footnote w:id="4">
    <w:p w:rsidR="00955D27" w:rsidRDefault="00955D27" w:rsidP="00660194">
      <w:pPr>
        <w:pStyle w:val="FootnoteText"/>
        <w:tabs>
          <w:tab w:val="left" w:pos="284"/>
        </w:tabs>
        <w:ind w:left="284" w:hanging="284"/>
      </w:pPr>
      <w:r>
        <w:rPr>
          <w:rStyle w:val="FootnoteReference"/>
        </w:rPr>
        <w:footnoteRef/>
      </w:r>
      <w:r>
        <w:tab/>
        <w:t>Dismantling the deficit model’ House of Representatives Committee. Joint Standing Committee on Migration, 12 November 2009.</w:t>
      </w:r>
    </w:p>
  </w:footnote>
  <w:footnote w:id="5">
    <w:p w:rsidR="00955D27" w:rsidRDefault="00955D27" w:rsidP="00660194">
      <w:pPr>
        <w:pStyle w:val="FootnoteText"/>
        <w:tabs>
          <w:tab w:val="left" w:pos="284"/>
        </w:tabs>
      </w:pPr>
      <w:r>
        <w:rPr>
          <w:rStyle w:val="FootnoteReference"/>
        </w:rPr>
        <w:footnoteRef/>
      </w:r>
      <w:r>
        <w:tab/>
      </w:r>
      <w:r w:rsidRPr="00B17773">
        <w:rPr>
          <w:rFonts w:ascii="Arial" w:hAnsi="Arial" w:cs="Arial"/>
        </w:rPr>
        <w:t>http://www.pwc.com.au/industry/government/publications/disability-in-australia.htm</w:t>
      </w:r>
    </w:p>
  </w:footnote>
  <w:footnote w:id="6">
    <w:p w:rsidR="00955D27" w:rsidRDefault="00955D27" w:rsidP="00660194">
      <w:pPr>
        <w:pStyle w:val="FootnoteText"/>
        <w:tabs>
          <w:tab w:val="left" w:pos="284"/>
        </w:tabs>
      </w:pPr>
      <w:r>
        <w:rPr>
          <w:rStyle w:val="FootnoteReference"/>
        </w:rPr>
        <w:footnoteRef/>
      </w:r>
      <w:r>
        <w:tab/>
      </w:r>
      <w:proofErr w:type="gramStart"/>
      <w:r>
        <w:t>CRPD preamble (e).</w:t>
      </w:r>
      <w:proofErr w:type="gramEnd"/>
    </w:p>
  </w:footnote>
  <w:footnote w:id="7">
    <w:p w:rsidR="00955D27" w:rsidRDefault="00955D27" w:rsidP="00660194">
      <w:pPr>
        <w:pStyle w:val="FootnoteText"/>
        <w:tabs>
          <w:tab w:val="left" w:pos="284"/>
        </w:tabs>
        <w:ind w:left="284" w:hanging="284"/>
      </w:pPr>
      <w:r>
        <w:rPr>
          <w:rStyle w:val="FootnoteReference"/>
        </w:rPr>
        <w:footnoteRef/>
      </w:r>
      <w:r>
        <w:t xml:space="preserve"> </w:t>
      </w:r>
      <w:r>
        <w:tab/>
      </w:r>
      <w:r>
        <w:rPr>
          <w:i/>
        </w:rPr>
        <w:t>Disability Rights Now</w:t>
      </w:r>
      <w:r>
        <w:t xml:space="preserve">, Civil Society Report to the United Nations Committee on the Rights of Persons with Disabilities, August 2012, p 45-47 at </w:t>
      </w:r>
      <w:hyperlink r:id="rId3" w:history="1">
        <w:r w:rsidRPr="00374CC8">
          <w:rPr>
            <w:rStyle w:val="Hyperlink"/>
          </w:rPr>
          <w:t>http://doc.afdo.org.au/CRPD_Civil_Society_Report_PDF</w:t>
        </w:r>
      </w:hyperlink>
    </w:p>
  </w:footnote>
  <w:footnote w:id="8">
    <w:p w:rsidR="00955D27" w:rsidRDefault="00955D27" w:rsidP="00660194">
      <w:pPr>
        <w:pStyle w:val="FootnoteText"/>
        <w:tabs>
          <w:tab w:val="left" w:pos="284"/>
        </w:tabs>
        <w:ind w:left="284" w:hanging="284"/>
      </w:pPr>
      <w:r>
        <w:rPr>
          <w:rStyle w:val="FootnoteReference"/>
        </w:rPr>
        <w:footnoteRef/>
      </w:r>
      <w:r>
        <w:t xml:space="preserve"> </w:t>
      </w:r>
      <w:r>
        <w:tab/>
        <w:t xml:space="preserve">See </w:t>
      </w:r>
      <w:r>
        <w:rPr>
          <w:i/>
        </w:rPr>
        <w:t xml:space="preserve">Don’t judge what I can do by what you think I can’t: Ten Years of Achievements using the Disability Discrimination Act, </w:t>
      </w:r>
      <w:r>
        <w:t>Australian Human Rights Commission, at</w:t>
      </w:r>
      <w:r>
        <w:rPr>
          <w:i/>
        </w:rPr>
        <w:t xml:space="preserve"> </w:t>
      </w:r>
      <w:hyperlink r:id="rId4" w:history="1">
        <w:r w:rsidRPr="003D022A">
          <w:rPr>
            <w:rStyle w:val="Hyperlink"/>
          </w:rPr>
          <w:t>http://www.humanrights.gov.au/publications/dont-judg</w:t>
        </w:r>
      </w:hyperlink>
      <w:r>
        <w:rPr>
          <w:rStyle w:val="Hyperlink"/>
        </w:rPr>
        <w:t>e</w:t>
      </w:r>
    </w:p>
  </w:footnote>
  <w:footnote w:id="9">
    <w:p w:rsidR="00955D27" w:rsidRDefault="00955D27" w:rsidP="00660194">
      <w:pPr>
        <w:pStyle w:val="FootnoteText"/>
        <w:tabs>
          <w:tab w:val="left" w:pos="284"/>
        </w:tabs>
        <w:ind w:left="284" w:hanging="284"/>
      </w:pPr>
      <w:r>
        <w:rPr>
          <w:rStyle w:val="FootnoteReference"/>
        </w:rPr>
        <w:footnoteRef/>
      </w:r>
      <w:r>
        <w:t xml:space="preserve"> </w:t>
      </w:r>
      <w:r>
        <w:tab/>
        <w:t xml:space="preserve">See, for example, the Human Rights Law Centre’s submissions to the Review of the Victorian Charter of Rights and Responsibilities at </w:t>
      </w:r>
      <w:hyperlink r:id="rId5" w:history="1">
        <w:r w:rsidRPr="00374CC8">
          <w:rPr>
            <w:rStyle w:val="Hyperlink"/>
          </w:rPr>
          <w:t>http://www.hrlc.org.au/files/HRLC-Submission-to-the-Review-of-the-Victorian-Charter.pdf</w:t>
        </w:r>
      </w:hyperlink>
      <w:r>
        <w:t xml:space="preserve">  and </w:t>
      </w:r>
      <w:hyperlink r:id="rId6" w:history="1">
        <w:r w:rsidRPr="00374CC8">
          <w:rPr>
            <w:rStyle w:val="Hyperlink"/>
          </w:rPr>
          <w:t>http://www.hrlc.org.au/files/Further-HRLC-Submission-to-the-Review-of-the-Victorian-Charter.pdf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A295F"/>
    <w:multiLevelType w:val="hybridMultilevel"/>
    <w:tmpl w:val="EF68F25E"/>
    <w:lvl w:ilvl="0" w:tplc="7F4295B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0820BC4"/>
    <w:multiLevelType w:val="hybridMultilevel"/>
    <w:tmpl w:val="940869BA"/>
    <w:lvl w:ilvl="0" w:tplc="08F056E8">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75DF4C9E"/>
    <w:multiLevelType w:val="hybridMultilevel"/>
    <w:tmpl w:val="13DA003C"/>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
    <w:nsid w:val="7F8C0206"/>
    <w:multiLevelType w:val="hybridMultilevel"/>
    <w:tmpl w:val="447CAE14"/>
    <w:lvl w:ilvl="0" w:tplc="A9F2318C">
      <w:numFmt w:val="bullet"/>
      <w:lvlText w:val="-"/>
      <w:lvlJc w:val="left"/>
      <w:pPr>
        <w:ind w:left="-207" w:hanging="360"/>
      </w:pPr>
      <w:rPr>
        <w:rFonts w:ascii="Arial" w:eastAsia="Times New Roman" w:hAnsi="Arial" w:cs="Arial" w:hint="default"/>
      </w:rPr>
    </w:lvl>
    <w:lvl w:ilvl="1" w:tplc="0C090003" w:tentative="1">
      <w:start w:val="1"/>
      <w:numFmt w:val="bullet"/>
      <w:lvlText w:val="o"/>
      <w:lvlJc w:val="left"/>
      <w:pPr>
        <w:ind w:left="513" w:hanging="360"/>
      </w:pPr>
      <w:rPr>
        <w:rFonts w:ascii="Courier New" w:hAnsi="Courier New" w:cs="Courier New" w:hint="default"/>
      </w:rPr>
    </w:lvl>
    <w:lvl w:ilvl="2" w:tplc="0C090005" w:tentative="1">
      <w:start w:val="1"/>
      <w:numFmt w:val="bullet"/>
      <w:lvlText w:val=""/>
      <w:lvlJc w:val="left"/>
      <w:pPr>
        <w:ind w:left="1233" w:hanging="360"/>
      </w:pPr>
      <w:rPr>
        <w:rFonts w:ascii="Wingdings" w:hAnsi="Wingdings" w:hint="default"/>
      </w:rPr>
    </w:lvl>
    <w:lvl w:ilvl="3" w:tplc="0C090001" w:tentative="1">
      <w:start w:val="1"/>
      <w:numFmt w:val="bullet"/>
      <w:lvlText w:val=""/>
      <w:lvlJc w:val="left"/>
      <w:pPr>
        <w:ind w:left="1953" w:hanging="360"/>
      </w:pPr>
      <w:rPr>
        <w:rFonts w:ascii="Symbol" w:hAnsi="Symbol" w:hint="default"/>
      </w:rPr>
    </w:lvl>
    <w:lvl w:ilvl="4" w:tplc="0C090003" w:tentative="1">
      <w:start w:val="1"/>
      <w:numFmt w:val="bullet"/>
      <w:lvlText w:val="o"/>
      <w:lvlJc w:val="left"/>
      <w:pPr>
        <w:ind w:left="2673" w:hanging="360"/>
      </w:pPr>
      <w:rPr>
        <w:rFonts w:ascii="Courier New" w:hAnsi="Courier New" w:cs="Courier New" w:hint="default"/>
      </w:rPr>
    </w:lvl>
    <w:lvl w:ilvl="5" w:tplc="0C090005" w:tentative="1">
      <w:start w:val="1"/>
      <w:numFmt w:val="bullet"/>
      <w:lvlText w:val=""/>
      <w:lvlJc w:val="left"/>
      <w:pPr>
        <w:ind w:left="3393" w:hanging="360"/>
      </w:pPr>
      <w:rPr>
        <w:rFonts w:ascii="Wingdings" w:hAnsi="Wingdings" w:hint="default"/>
      </w:rPr>
    </w:lvl>
    <w:lvl w:ilvl="6" w:tplc="0C090001" w:tentative="1">
      <w:start w:val="1"/>
      <w:numFmt w:val="bullet"/>
      <w:lvlText w:val=""/>
      <w:lvlJc w:val="left"/>
      <w:pPr>
        <w:ind w:left="4113" w:hanging="360"/>
      </w:pPr>
      <w:rPr>
        <w:rFonts w:ascii="Symbol" w:hAnsi="Symbol" w:hint="default"/>
      </w:rPr>
    </w:lvl>
    <w:lvl w:ilvl="7" w:tplc="0C090003" w:tentative="1">
      <w:start w:val="1"/>
      <w:numFmt w:val="bullet"/>
      <w:lvlText w:val="o"/>
      <w:lvlJc w:val="left"/>
      <w:pPr>
        <w:ind w:left="4833" w:hanging="360"/>
      </w:pPr>
      <w:rPr>
        <w:rFonts w:ascii="Courier New" w:hAnsi="Courier New" w:cs="Courier New" w:hint="default"/>
      </w:rPr>
    </w:lvl>
    <w:lvl w:ilvl="8" w:tplc="0C090005" w:tentative="1">
      <w:start w:val="1"/>
      <w:numFmt w:val="bullet"/>
      <w:lvlText w:val=""/>
      <w:lvlJc w:val="left"/>
      <w:pPr>
        <w:ind w:left="5553"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2510822-A60C-40F7-A510-204A3EF5027D}"/>
    <w:docVar w:name="dgnword-eventsink" w:val="257622480"/>
  </w:docVars>
  <w:rsids>
    <w:rsidRoot w:val="00EF05C7"/>
    <w:rsid w:val="00033A2D"/>
    <w:rsid w:val="000466F7"/>
    <w:rsid w:val="000D38CE"/>
    <w:rsid w:val="000E16F1"/>
    <w:rsid w:val="000F7433"/>
    <w:rsid w:val="0011769C"/>
    <w:rsid w:val="001368B3"/>
    <w:rsid w:val="00152E0D"/>
    <w:rsid w:val="0021034C"/>
    <w:rsid w:val="00236ACE"/>
    <w:rsid w:val="00241BF3"/>
    <w:rsid w:val="0025358E"/>
    <w:rsid w:val="002A14D6"/>
    <w:rsid w:val="002A48B2"/>
    <w:rsid w:val="002A6942"/>
    <w:rsid w:val="002C77B6"/>
    <w:rsid w:val="002C789C"/>
    <w:rsid w:val="002E7320"/>
    <w:rsid w:val="002E7BBC"/>
    <w:rsid w:val="00332A11"/>
    <w:rsid w:val="00350589"/>
    <w:rsid w:val="00367662"/>
    <w:rsid w:val="00376BCC"/>
    <w:rsid w:val="00387F8D"/>
    <w:rsid w:val="003A0E07"/>
    <w:rsid w:val="003C6C3A"/>
    <w:rsid w:val="003D022A"/>
    <w:rsid w:val="003D38FC"/>
    <w:rsid w:val="003E011D"/>
    <w:rsid w:val="00410B2C"/>
    <w:rsid w:val="00417C92"/>
    <w:rsid w:val="00466DE7"/>
    <w:rsid w:val="00474656"/>
    <w:rsid w:val="0048678D"/>
    <w:rsid w:val="004D1C30"/>
    <w:rsid w:val="0052261C"/>
    <w:rsid w:val="005271FF"/>
    <w:rsid w:val="00583590"/>
    <w:rsid w:val="006241CC"/>
    <w:rsid w:val="00642D22"/>
    <w:rsid w:val="00643865"/>
    <w:rsid w:val="00645A58"/>
    <w:rsid w:val="00660194"/>
    <w:rsid w:val="00673CF1"/>
    <w:rsid w:val="00691091"/>
    <w:rsid w:val="006951B1"/>
    <w:rsid w:val="006A33E3"/>
    <w:rsid w:val="006C615A"/>
    <w:rsid w:val="006E046F"/>
    <w:rsid w:val="00722AD7"/>
    <w:rsid w:val="00730885"/>
    <w:rsid w:val="00767020"/>
    <w:rsid w:val="0077087D"/>
    <w:rsid w:val="00790FEC"/>
    <w:rsid w:val="00794264"/>
    <w:rsid w:val="0079450B"/>
    <w:rsid w:val="007B0433"/>
    <w:rsid w:val="007B337D"/>
    <w:rsid w:val="007F1B91"/>
    <w:rsid w:val="0081546F"/>
    <w:rsid w:val="00821F84"/>
    <w:rsid w:val="00833431"/>
    <w:rsid w:val="008479C4"/>
    <w:rsid w:val="00887C7F"/>
    <w:rsid w:val="008A095E"/>
    <w:rsid w:val="00910801"/>
    <w:rsid w:val="009138CD"/>
    <w:rsid w:val="00931A36"/>
    <w:rsid w:val="009418C6"/>
    <w:rsid w:val="00955D27"/>
    <w:rsid w:val="00960B7A"/>
    <w:rsid w:val="00993ACE"/>
    <w:rsid w:val="009A213D"/>
    <w:rsid w:val="009A5258"/>
    <w:rsid w:val="009B7F15"/>
    <w:rsid w:val="009D4EF0"/>
    <w:rsid w:val="00A04C31"/>
    <w:rsid w:val="00A33D2E"/>
    <w:rsid w:val="00A53262"/>
    <w:rsid w:val="00A94948"/>
    <w:rsid w:val="00AB095C"/>
    <w:rsid w:val="00AB6BE1"/>
    <w:rsid w:val="00AD6A6C"/>
    <w:rsid w:val="00AF512B"/>
    <w:rsid w:val="00B17773"/>
    <w:rsid w:val="00B270B8"/>
    <w:rsid w:val="00B717C8"/>
    <w:rsid w:val="00B7514A"/>
    <w:rsid w:val="00B857BC"/>
    <w:rsid w:val="00B973D3"/>
    <w:rsid w:val="00BC0969"/>
    <w:rsid w:val="00BD2755"/>
    <w:rsid w:val="00BE30F9"/>
    <w:rsid w:val="00C06D62"/>
    <w:rsid w:val="00C13D2C"/>
    <w:rsid w:val="00C70820"/>
    <w:rsid w:val="00C921FC"/>
    <w:rsid w:val="00CB14F1"/>
    <w:rsid w:val="00CE12E1"/>
    <w:rsid w:val="00D67FA6"/>
    <w:rsid w:val="00DB1668"/>
    <w:rsid w:val="00DC03A7"/>
    <w:rsid w:val="00DC7769"/>
    <w:rsid w:val="00DD0D9C"/>
    <w:rsid w:val="00E3069F"/>
    <w:rsid w:val="00EA0742"/>
    <w:rsid w:val="00EA12E5"/>
    <w:rsid w:val="00EC6EFE"/>
    <w:rsid w:val="00EF05C7"/>
    <w:rsid w:val="00F0591F"/>
    <w:rsid w:val="00F305A2"/>
    <w:rsid w:val="00F329EC"/>
    <w:rsid w:val="00F428B4"/>
    <w:rsid w:val="00F911BD"/>
    <w:rsid w:val="00F935B0"/>
    <w:rsid w:val="00FA4BAE"/>
    <w:rsid w:val="00FB3524"/>
    <w:rsid w:val="00FD2A0A"/>
    <w:rsid w:val="00FE43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29EC"/>
    <w:pPr>
      <w:keepNext/>
      <w:keepLines/>
      <w:spacing w:before="480" w:after="120" w:line="240" w:lineRule="auto"/>
      <w:outlineLvl w:val="0"/>
    </w:pPr>
    <w:rPr>
      <w:rFonts w:ascii="Arial" w:eastAsiaTheme="majorEastAsia" w:hAnsi="Arial" w:cstheme="majorBidi"/>
      <w:b/>
      <w:bCs/>
      <w:color w:val="365F91" w:themeColor="accent1" w:themeShade="BF"/>
      <w:spacing w:val="16"/>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F05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F05C7"/>
    <w:rPr>
      <w:sz w:val="20"/>
      <w:szCs w:val="20"/>
    </w:rPr>
  </w:style>
  <w:style w:type="character" w:styleId="EndnoteReference">
    <w:name w:val="endnote reference"/>
    <w:basedOn w:val="DefaultParagraphFont"/>
    <w:uiPriority w:val="99"/>
    <w:semiHidden/>
    <w:unhideWhenUsed/>
    <w:rsid w:val="00EF05C7"/>
    <w:rPr>
      <w:vertAlign w:val="superscript"/>
    </w:rPr>
  </w:style>
  <w:style w:type="character" w:styleId="Hyperlink">
    <w:name w:val="Hyperlink"/>
    <w:basedOn w:val="DefaultParagraphFont"/>
    <w:uiPriority w:val="99"/>
    <w:unhideWhenUsed/>
    <w:rsid w:val="003A0E07"/>
    <w:rPr>
      <w:strike w:val="0"/>
      <w:dstrike w:val="0"/>
      <w:color w:val="005F96"/>
      <w:u w:val="none"/>
      <w:effect w:val="none"/>
    </w:rPr>
  </w:style>
  <w:style w:type="character" w:styleId="HTMLCite">
    <w:name w:val="HTML Cite"/>
    <w:basedOn w:val="DefaultParagraphFont"/>
    <w:uiPriority w:val="99"/>
    <w:semiHidden/>
    <w:unhideWhenUsed/>
    <w:rsid w:val="003A0E07"/>
    <w:rPr>
      <w:i/>
      <w:iCs/>
    </w:rPr>
  </w:style>
  <w:style w:type="paragraph" w:styleId="NormalWeb">
    <w:name w:val="Normal (Web)"/>
    <w:basedOn w:val="Normal"/>
    <w:uiPriority w:val="99"/>
    <w:unhideWhenUsed/>
    <w:rsid w:val="003A0E07"/>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styleId="ListParagraph">
    <w:name w:val="List Paragraph"/>
    <w:basedOn w:val="Normal"/>
    <w:uiPriority w:val="34"/>
    <w:qFormat/>
    <w:rsid w:val="003C6C3A"/>
    <w:pPr>
      <w:ind w:left="720"/>
      <w:contextualSpacing/>
    </w:pPr>
  </w:style>
  <w:style w:type="paragraph" w:styleId="Header">
    <w:name w:val="header"/>
    <w:basedOn w:val="Normal"/>
    <w:link w:val="HeaderChar"/>
    <w:uiPriority w:val="99"/>
    <w:unhideWhenUsed/>
    <w:rsid w:val="00FB35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524"/>
  </w:style>
  <w:style w:type="paragraph" w:styleId="Footer">
    <w:name w:val="footer"/>
    <w:basedOn w:val="Normal"/>
    <w:link w:val="FooterChar"/>
    <w:uiPriority w:val="99"/>
    <w:unhideWhenUsed/>
    <w:rsid w:val="00FB35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524"/>
  </w:style>
  <w:style w:type="paragraph" w:styleId="BalloonText">
    <w:name w:val="Balloon Text"/>
    <w:basedOn w:val="Normal"/>
    <w:link w:val="BalloonTextChar"/>
    <w:uiPriority w:val="99"/>
    <w:semiHidden/>
    <w:unhideWhenUsed/>
    <w:rsid w:val="003D0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22A"/>
    <w:rPr>
      <w:rFonts w:ascii="Tahoma" w:hAnsi="Tahoma" w:cs="Tahoma"/>
      <w:sz w:val="16"/>
      <w:szCs w:val="16"/>
    </w:rPr>
  </w:style>
  <w:style w:type="character" w:styleId="FollowedHyperlink">
    <w:name w:val="FollowedHyperlink"/>
    <w:basedOn w:val="DefaultParagraphFont"/>
    <w:uiPriority w:val="99"/>
    <w:semiHidden/>
    <w:unhideWhenUsed/>
    <w:rsid w:val="003D022A"/>
    <w:rPr>
      <w:color w:val="800080" w:themeColor="followedHyperlink"/>
      <w:u w:val="single"/>
    </w:rPr>
  </w:style>
  <w:style w:type="paragraph" w:styleId="FootnoteText">
    <w:name w:val="footnote text"/>
    <w:basedOn w:val="Normal"/>
    <w:link w:val="FootnoteTextChar"/>
    <w:uiPriority w:val="99"/>
    <w:semiHidden/>
    <w:unhideWhenUsed/>
    <w:rsid w:val="006601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0194"/>
    <w:rPr>
      <w:sz w:val="20"/>
      <w:szCs w:val="20"/>
    </w:rPr>
  </w:style>
  <w:style w:type="character" w:styleId="FootnoteReference">
    <w:name w:val="footnote reference"/>
    <w:basedOn w:val="DefaultParagraphFont"/>
    <w:uiPriority w:val="99"/>
    <w:semiHidden/>
    <w:unhideWhenUsed/>
    <w:rsid w:val="00660194"/>
    <w:rPr>
      <w:vertAlign w:val="superscript"/>
    </w:rPr>
  </w:style>
  <w:style w:type="character" w:customStyle="1" w:styleId="Heading1Char">
    <w:name w:val="Heading 1 Char"/>
    <w:basedOn w:val="DefaultParagraphFont"/>
    <w:link w:val="Heading1"/>
    <w:uiPriority w:val="9"/>
    <w:rsid w:val="00F329EC"/>
    <w:rPr>
      <w:rFonts w:ascii="Arial" w:eastAsiaTheme="majorEastAsia" w:hAnsi="Arial" w:cstheme="majorBidi"/>
      <w:b/>
      <w:bCs/>
      <w:color w:val="365F91" w:themeColor="accent1" w:themeShade="BF"/>
      <w:spacing w:val="16"/>
      <w:sz w:val="3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29EC"/>
    <w:pPr>
      <w:keepNext/>
      <w:keepLines/>
      <w:spacing w:before="480" w:after="120" w:line="240" w:lineRule="auto"/>
      <w:outlineLvl w:val="0"/>
    </w:pPr>
    <w:rPr>
      <w:rFonts w:ascii="Arial" w:eastAsiaTheme="majorEastAsia" w:hAnsi="Arial" w:cstheme="majorBidi"/>
      <w:b/>
      <w:bCs/>
      <w:color w:val="365F91" w:themeColor="accent1" w:themeShade="BF"/>
      <w:spacing w:val="16"/>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F05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F05C7"/>
    <w:rPr>
      <w:sz w:val="20"/>
      <w:szCs w:val="20"/>
    </w:rPr>
  </w:style>
  <w:style w:type="character" w:styleId="EndnoteReference">
    <w:name w:val="endnote reference"/>
    <w:basedOn w:val="DefaultParagraphFont"/>
    <w:uiPriority w:val="99"/>
    <w:semiHidden/>
    <w:unhideWhenUsed/>
    <w:rsid w:val="00EF05C7"/>
    <w:rPr>
      <w:vertAlign w:val="superscript"/>
    </w:rPr>
  </w:style>
  <w:style w:type="character" w:styleId="Hyperlink">
    <w:name w:val="Hyperlink"/>
    <w:basedOn w:val="DefaultParagraphFont"/>
    <w:uiPriority w:val="99"/>
    <w:unhideWhenUsed/>
    <w:rsid w:val="003A0E07"/>
    <w:rPr>
      <w:strike w:val="0"/>
      <w:dstrike w:val="0"/>
      <w:color w:val="005F96"/>
      <w:u w:val="none"/>
      <w:effect w:val="none"/>
    </w:rPr>
  </w:style>
  <w:style w:type="character" w:styleId="HTMLCite">
    <w:name w:val="HTML Cite"/>
    <w:basedOn w:val="DefaultParagraphFont"/>
    <w:uiPriority w:val="99"/>
    <w:semiHidden/>
    <w:unhideWhenUsed/>
    <w:rsid w:val="003A0E07"/>
    <w:rPr>
      <w:i/>
      <w:iCs/>
    </w:rPr>
  </w:style>
  <w:style w:type="paragraph" w:styleId="NormalWeb">
    <w:name w:val="Normal (Web)"/>
    <w:basedOn w:val="Normal"/>
    <w:uiPriority w:val="99"/>
    <w:unhideWhenUsed/>
    <w:rsid w:val="003A0E07"/>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styleId="ListParagraph">
    <w:name w:val="List Paragraph"/>
    <w:basedOn w:val="Normal"/>
    <w:uiPriority w:val="34"/>
    <w:qFormat/>
    <w:rsid w:val="003C6C3A"/>
    <w:pPr>
      <w:ind w:left="720"/>
      <w:contextualSpacing/>
    </w:pPr>
  </w:style>
  <w:style w:type="paragraph" w:styleId="Header">
    <w:name w:val="header"/>
    <w:basedOn w:val="Normal"/>
    <w:link w:val="HeaderChar"/>
    <w:uiPriority w:val="99"/>
    <w:unhideWhenUsed/>
    <w:rsid w:val="00FB35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524"/>
  </w:style>
  <w:style w:type="paragraph" w:styleId="Footer">
    <w:name w:val="footer"/>
    <w:basedOn w:val="Normal"/>
    <w:link w:val="FooterChar"/>
    <w:uiPriority w:val="99"/>
    <w:unhideWhenUsed/>
    <w:rsid w:val="00FB35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524"/>
  </w:style>
  <w:style w:type="paragraph" w:styleId="BalloonText">
    <w:name w:val="Balloon Text"/>
    <w:basedOn w:val="Normal"/>
    <w:link w:val="BalloonTextChar"/>
    <w:uiPriority w:val="99"/>
    <w:semiHidden/>
    <w:unhideWhenUsed/>
    <w:rsid w:val="003D0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22A"/>
    <w:rPr>
      <w:rFonts w:ascii="Tahoma" w:hAnsi="Tahoma" w:cs="Tahoma"/>
      <w:sz w:val="16"/>
      <w:szCs w:val="16"/>
    </w:rPr>
  </w:style>
  <w:style w:type="character" w:styleId="FollowedHyperlink">
    <w:name w:val="FollowedHyperlink"/>
    <w:basedOn w:val="DefaultParagraphFont"/>
    <w:uiPriority w:val="99"/>
    <w:semiHidden/>
    <w:unhideWhenUsed/>
    <w:rsid w:val="003D022A"/>
    <w:rPr>
      <w:color w:val="800080" w:themeColor="followedHyperlink"/>
      <w:u w:val="single"/>
    </w:rPr>
  </w:style>
  <w:style w:type="paragraph" w:styleId="FootnoteText">
    <w:name w:val="footnote text"/>
    <w:basedOn w:val="Normal"/>
    <w:link w:val="FootnoteTextChar"/>
    <w:uiPriority w:val="99"/>
    <w:semiHidden/>
    <w:unhideWhenUsed/>
    <w:rsid w:val="006601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0194"/>
    <w:rPr>
      <w:sz w:val="20"/>
      <w:szCs w:val="20"/>
    </w:rPr>
  </w:style>
  <w:style w:type="character" w:styleId="FootnoteReference">
    <w:name w:val="footnote reference"/>
    <w:basedOn w:val="DefaultParagraphFont"/>
    <w:uiPriority w:val="99"/>
    <w:semiHidden/>
    <w:unhideWhenUsed/>
    <w:rsid w:val="00660194"/>
    <w:rPr>
      <w:vertAlign w:val="superscript"/>
    </w:rPr>
  </w:style>
  <w:style w:type="character" w:customStyle="1" w:styleId="Heading1Char">
    <w:name w:val="Heading 1 Char"/>
    <w:basedOn w:val="DefaultParagraphFont"/>
    <w:link w:val="Heading1"/>
    <w:uiPriority w:val="9"/>
    <w:rsid w:val="00F329EC"/>
    <w:rPr>
      <w:rFonts w:ascii="Arial" w:eastAsiaTheme="majorEastAsia" w:hAnsi="Arial" w:cstheme="majorBidi"/>
      <w:b/>
      <w:bCs/>
      <w:color w:val="365F91" w:themeColor="accent1" w:themeShade="BF"/>
      <w:spacing w:val="16"/>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humanrights.gov.au/twentystories/video-presumed-guilty.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doc.afdo.org.au/CRPD_Civil_Society_Report_PDF" TargetMode="External"/><Relationship Id="rId2" Type="http://schemas.openxmlformats.org/officeDocument/2006/relationships/hyperlink" Target="http://www.wwda.org.au/subs2011.htm" TargetMode="External"/><Relationship Id="rId1" Type="http://schemas.openxmlformats.org/officeDocument/2006/relationships/hyperlink" Target="http://www.nda.ie/cntmgmtnew.nsf/0/BE967D49F3E2CD488025707B004C4016?OpenDocument" TargetMode="External"/><Relationship Id="rId6" Type="http://schemas.openxmlformats.org/officeDocument/2006/relationships/hyperlink" Target="http://www.hrlc.org.au/files/Further-HRLC-Submission-to-the-Review-of-the-Victorian-Charter.pdf" TargetMode="External"/><Relationship Id="rId5" Type="http://schemas.openxmlformats.org/officeDocument/2006/relationships/hyperlink" Target="http://www.hrlc.org.au/files/HRLC-Submission-to-the-Review-of-the-Victorian-Charter.pdf" TargetMode="External"/><Relationship Id="rId4" Type="http://schemas.openxmlformats.org/officeDocument/2006/relationships/hyperlink" Target="http://www.humanrights.gov.au/publications/dont-ju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24434-D2A6-4A1D-A817-838C05B41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97E4B911</Template>
  <TotalTime>570</TotalTime>
  <Pages>11</Pages>
  <Words>3363</Words>
  <Characters>19172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Campbell</dc:creator>
  <cp:lastModifiedBy>Coral Logan</cp:lastModifiedBy>
  <cp:revision>33</cp:revision>
  <cp:lastPrinted>2013-10-28T05:21:00Z</cp:lastPrinted>
  <dcterms:created xsi:type="dcterms:W3CDTF">2013-10-28T23:27:00Z</dcterms:created>
  <dcterms:modified xsi:type="dcterms:W3CDTF">2013-11-01T04:29:00Z</dcterms:modified>
</cp:coreProperties>
</file>