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2"/>
          <w:szCs w:val="22"/>
        </w:rPr>
        <w:id w:val="-1713949148"/>
        <w:docPartObj>
          <w:docPartGallery w:val="Cover Pages"/>
          <w:docPartUnique/>
        </w:docPartObj>
      </w:sdtPr>
      <w:sdtEndPr/>
      <w:sdtContent>
        <w:p w:rsidR="00111CB1" w:rsidRPr="002F3BB0" w:rsidRDefault="000A6482">
          <w:pPr>
            <w:rPr>
              <w:rFonts w:cstheme="minorHAnsi"/>
              <w:sz w:val="22"/>
              <w:szCs w:val="22"/>
            </w:rPr>
          </w:pPr>
          <w:r w:rsidRPr="002F3BB0">
            <w:rPr>
              <w:rFonts w:cstheme="minorHAnsi"/>
              <w:noProof/>
              <w:sz w:val="22"/>
              <w:szCs w:val="22"/>
              <w:lang w:eastAsia="en-AU"/>
            </w:rPr>
            <w:drawing>
              <wp:anchor distT="0" distB="0" distL="114300" distR="114300" simplePos="0" relativeHeight="251681792" behindDoc="1" locked="0" layoutInCell="1" allowOverlap="1" wp14:anchorId="30E42FBB" wp14:editId="3D07DBC6">
                <wp:simplePos x="0" y="0"/>
                <wp:positionH relativeFrom="margin">
                  <wp:align>center</wp:align>
                </wp:positionH>
                <wp:positionV relativeFrom="margin">
                  <wp:posOffset>-523240</wp:posOffset>
                </wp:positionV>
                <wp:extent cx="6869430" cy="6348730"/>
                <wp:effectExtent l="0" t="0" r="7620" b="0"/>
                <wp:wrapSquare wrapText="bothSides"/>
                <wp:docPr id="19" name="Picture 19" descr="Cover for 2013 to 2014 annual report of the Anti-Discirimintaion Commission Queensland" title="Anti-Discrimination Commission Queensland Annual Report 2013 t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4493"/>
                        <a:stretch/>
                      </pic:blipFill>
                      <pic:spPr bwMode="auto">
                        <a:xfrm>
                          <a:off x="0" y="0"/>
                          <a:ext cx="6869430" cy="6348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6C79" w:rsidRPr="002F3BB0">
            <w:rPr>
              <w:rFonts w:cstheme="minorHAnsi"/>
              <w:noProof/>
              <w:sz w:val="22"/>
              <w:szCs w:val="22"/>
              <w:lang w:eastAsia="en-AU"/>
            </w:rPr>
            <w:drawing>
              <wp:anchor distT="0" distB="0" distL="114300" distR="114300" simplePos="0" relativeHeight="251688960" behindDoc="1" locked="0" layoutInCell="1" allowOverlap="1" wp14:anchorId="7187064E" wp14:editId="6409D432">
                <wp:simplePos x="0" y="0"/>
                <wp:positionH relativeFrom="column">
                  <wp:posOffset>-217170</wp:posOffset>
                </wp:positionH>
                <wp:positionV relativeFrom="paragraph">
                  <wp:posOffset>9187815</wp:posOffset>
                </wp:positionV>
                <wp:extent cx="1809750" cy="558165"/>
                <wp:effectExtent l="0" t="0" r="0" b="0"/>
                <wp:wrapThrough wrapText="bothSides">
                  <wp:wrapPolygon edited="0">
                    <wp:start x="8413" y="0"/>
                    <wp:lineTo x="0" y="3686"/>
                    <wp:lineTo x="0" y="18430"/>
                    <wp:lineTo x="19099" y="20642"/>
                    <wp:lineTo x="21373" y="20642"/>
                    <wp:lineTo x="21373" y="3686"/>
                    <wp:lineTo x="20463" y="2949"/>
                    <wp:lineTo x="10914" y="0"/>
                    <wp:lineTo x="8413" y="0"/>
                  </wp:wrapPolygon>
                </wp:wrapThrough>
                <wp:docPr id="18" name="Picture 18" descr="Anti-Discrimination Commissio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ADCQ LRG.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09750" cy="558165"/>
                        </a:xfrm>
                        <a:prstGeom prst="rect">
                          <a:avLst/>
                        </a:prstGeom>
                      </pic:spPr>
                    </pic:pic>
                  </a:graphicData>
                </a:graphic>
                <wp14:sizeRelH relativeFrom="page">
                  <wp14:pctWidth>0</wp14:pctWidth>
                </wp14:sizeRelH>
                <wp14:sizeRelV relativeFrom="page">
                  <wp14:pctHeight>0</wp14:pctHeight>
                </wp14:sizeRelV>
              </wp:anchor>
            </w:drawing>
          </w:r>
          <w:r w:rsidR="00216C79" w:rsidRPr="002F3BB0">
            <w:rPr>
              <w:rFonts w:cstheme="minorHAnsi"/>
              <w:noProof/>
              <w:sz w:val="22"/>
              <w:szCs w:val="22"/>
              <w:lang w:eastAsia="en-AU"/>
            </w:rPr>
            <mc:AlternateContent>
              <mc:Choice Requires="wps">
                <w:drawing>
                  <wp:anchor distT="0" distB="0" distL="114300" distR="114300" simplePos="0" relativeHeight="251685888" behindDoc="0" locked="0" layoutInCell="1" allowOverlap="1" wp14:anchorId="681E77B9" wp14:editId="73E3F42F">
                    <wp:simplePos x="0" y="0"/>
                    <wp:positionH relativeFrom="margin">
                      <wp:align>center</wp:align>
                    </wp:positionH>
                    <wp:positionV relativeFrom="paragraph">
                      <wp:posOffset>-4737100</wp:posOffset>
                    </wp:positionV>
                    <wp:extent cx="6304915" cy="149542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6304915" cy="1495425"/>
                            </a:xfrm>
                            <a:prstGeom prst="rect">
                              <a:avLst/>
                            </a:prstGeom>
                            <a:noFill/>
                            <a:ln>
                              <a:noFill/>
                            </a:ln>
                            <a:effectLst/>
                          </wps:spPr>
                          <wps:txbx>
                            <w:txbxContent>
                              <w:p w:rsidR="007447D3" w:rsidRPr="00A502D1" w:rsidRDefault="007447D3" w:rsidP="00F8294A">
                                <w:pPr>
                                  <w:rPr>
                                    <w:rFonts w:ascii="Arial" w:hAnsi="Arial" w:cs="Arial"/>
                                    <w:b/>
                                    <w:color w:val="FFFFFF" w:themeColor="background1"/>
                                    <w:sz w:val="72"/>
                                    <w:szCs w:val="72"/>
                                  </w:rPr>
                                </w:pPr>
                                <w:r w:rsidRPr="00A502D1">
                                  <w:rPr>
                                    <w:rFonts w:ascii="Arial" w:hAnsi="Arial" w:cs="Arial"/>
                                    <w:b/>
                                    <w:color w:val="FFFFFF" w:themeColor="background1"/>
                                    <w:sz w:val="72"/>
                                    <w:szCs w:val="72"/>
                                  </w:rPr>
                                  <w:t>Anti-Discrimination Commission Queensland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373pt;width:496.45pt;height:117.75pt;z-index:25168588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" filled="f" stroked="f">
                    <v:textbox>
                      <w:txbxContent>
                        <w:p w:rsidR="007447D3" w:rsidRPr="00A502D1" w:rsidRDefault="007447D3" w:rsidP="00F8294A">
                          <w:pPr>
                            <w:rPr>
                              <w:rFonts w:ascii="Arial" w:hAnsi="Arial" w:cs="Arial"/>
                              <w:b/>
                              <w:color w:val="FFFFFF" w:themeColor="background1"/>
                              <w:sz w:val="72"/>
                              <w:szCs w:val="72"/>
                            </w:rPr>
                          </w:pPr>
                          <w:r w:rsidRPr="00A502D1">
                            <w:rPr>
                              <w:rFonts w:ascii="Arial" w:hAnsi="Arial" w:cs="Arial"/>
                              <w:b/>
                              <w:color w:val="FFFFFF" w:themeColor="background1"/>
                              <w:sz w:val="72"/>
                              <w:szCs w:val="72"/>
                            </w:rPr>
                            <w:t>Anti-Discrimination Commission Queensland</w:t>
                          </w:r>
                        </w:p>
                      </w:txbxContent>
                    </v:textbox>
                    <w10:wrap anchorx="margin"/>
                  </v:shape>
                </w:pict>
              </mc:Fallback>
            </mc:AlternateContent>
          </w:r>
          <w:r w:rsidR="00216C79" w:rsidRPr="002F3BB0">
            <w:rPr>
              <w:rFonts w:cstheme="minorHAnsi"/>
              <w:noProof/>
              <w:sz w:val="22"/>
              <w:szCs w:val="22"/>
              <w:lang w:eastAsia="en-AU"/>
            </w:rPr>
            <mc:AlternateContent>
              <mc:Choice Requires="wps">
                <w:drawing>
                  <wp:anchor distT="0" distB="0" distL="114300" distR="114300" simplePos="0" relativeHeight="251663360" behindDoc="1" locked="0" layoutInCell="1" allowOverlap="1" wp14:anchorId="0B1B9235" wp14:editId="3BC4BAB8">
                    <wp:simplePos x="0" y="0"/>
                    <wp:positionH relativeFrom="margin">
                      <wp:align>center</wp:align>
                    </wp:positionH>
                    <mc:AlternateContent>
                      <mc:Choice Requires="wp14">
                        <wp:positionV relativeFrom="margin">
                          <wp14:pctPosVOffset>59000</wp14:pctPosVOffset>
                        </wp:positionV>
                      </mc:Choice>
                      <mc:Fallback>
                        <wp:positionV relativeFrom="page">
                          <wp:posOffset>6191885</wp:posOffset>
                        </wp:positionV>
                      </mc:Fallback>
                    </mc:AlternateContent>
                    <wp:extent cx="6868795" cy="3703320"/>
                    <wp:effectExtent l="0" t="0" r="8255" b="0"/>
                    <wp:wrapThrough wrapText="bothSides">
                      <wp:wrapPolygon edited="0">
                        <wp:start x="0" y="0"/>
                        <wp:lineTo x="0" y="21479"/>
                        <wp:lineTo x="21566" y="21479"/>
                        <wp:lineTo x="21566" y="0"/>
                        <wp:lineTo x="0" y="0"/>
                      </wp:wrapPolygon>
                    </wp:wrapThrough>
                    <wp:docPr id="388" name="Rectangle 388"/>
                    <wp:cNvGraphicFramePr/>
                    <a:graphic xmlns:a="http://schemas.openxmlformats.org/drawingml/2006/main">
                      <a:graphicData uri="http://schemas.microsoft.com/office/word/2010/wordprocessingShape">
                        <wps:wsp>
                          <wps:cNvSpPr/>
                          <wps:spPr>
                            <a:xfrm>
                              <a:off x="0" y="0"/>
                              <a:ext cx="6868795"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45000</wp14:pctHeight>
                    </wp14:sizeRelV>
                  </wp:anchor>
                </w:drawing>
              </mc:Choice>
              <mc:Fallback>
                <w:pict>
                  <v:rect id="Rectangle 388" o:spid="_x0000_s1026" style="position:absolute;margin-left:0;margin-top:0;width:540.85pt;height:291.6pt;z-index:-251653120;visibility:visible;mso-wrap-style:square;mso-width-percent:0;mso-height-percent:450;mso-top-percent:590;mso-wrap-distance-left:9pt;mso-wrap-distance-top:0;mso-wrap-distance-right:9pt;mso-wrap-distance-bottom:0;mso-position-horizontal:center;mso-position-horizontal-relative:margin;mso-position-vertical-relative:margin;mso-width-percent: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" fillcolor="white [2577]" stroked="f" strokeweight="2pt">
                    <v:fill color2="#4c4c4c [961]" rotate="t" focusposition=".5,.5" focussize="" focus="100%" type="gradientRadial"/>
                    <w10:wrap type="through" anchorx="margin" anchory="margin"/>
                  </v:rect>
                </w:pict>
              </mc:Fallback>
            </mc:AlternateContent>
          </w:r>
          <w:r w:rsidR="00A464AC" w:rsidRPr="002F3BB0">
            <w:rPr>
              <w:rFonts w:cstheme="minorHAnsi"/>
              <w:noProof/>
              <w:sz w:val="22"/>
              <w:szCs w:val="22"/>
              <w:lang w:eastAsia="en-AU"/>
            </w:rPr>
            <mc:AlternateContent>
              <mc:Choice Requires="wps">
                <w:drawing>
                  <wp:anchor distT="0" distB="0" distL="114300" distR="114300" simplePos="0" relativeHeight="251667456" behindDoc="0" locked="0" layoutInCell="1" allowOverlap="1" wp14:anchorId="053BF8EB" wp14:editId="68C8FB34">
                    <wp:simplePos x="0" y="0"/>
                    <mc:AlternateContent>
                      <mc:Choice Requires="wp14">
                        <wp:positionH relativeFrom="margin">
                          <wp14:pctPosHOffset>44500</wp14:pctPosHOffset>
                        </wp:positionH>
                      </mc:Choice>
                      <mc:Fallback>
                        <wp:positionH relativeFrom="page">
                          <wp:posOffset>3439160</wp:posOffset>
                        </wp:positionH>
                      </mc:Fallback>
                    </mc:AlternateContent>
                    <mc:AlternateContent>
                      <mc:Choice Requires="wp14">
                        <wp:positionV relativeFrom="margin">
                          <wp14:pctPosVOffset>59000</wp14:pctPosVOffset>
                        </wp:positionV>
                      </mc:Choice>
                      <mc:Fallback>
                        <wp:positionV relativeFrom="page">
                          <wp:posOffset>6191885</wp:posOffset>
                        </wp:positionV>
                      </mc:Fallback>
                    </mc:AlternateContent>
                    <wp:extent cx="3596005" cy="4042410"/>
                    <wp:effectExtent l="95250" t="0" r="82550" b="0"/>
                    <wp:wrapNone/>
                    <wp:docPr id="387" name="Text Box 387"/>
                    <wp:cNvGraphicFramePr/>
                    <a:graphic xmlns:a="http://schemas.openxmlformats.org/drawingml/2006/main">
                      <a:graphicData uri="http://schemas.microsoft.com/office/word/2010/wordprocessingShape">
                        <wps:wsp>
                          <wps:cNvSpPr txBox="1"/>
                          <wps:spPr>
                            <a:xfrm>
                              <a:off x="0" y="0"/>
                              <a:ext cx="3596005" cy="4042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47D3" w:rsidRDefault="007447D3" w:rsidP="00A464AC">
                                <w:pPr>
                                  <w:spacing w:before="240" w:after="0" w:line="240" w:lineRule="auto"/>
                                  <w:suppressOverlap/>
                                </w:pPr>
                                <w:r w:rsidRPr="00B7245D">
                                  <w:rPr>
                                    <w:rFonts w:ascii="Arial" w:eastAsiaTheme="majorEastAsia" w:hAnsi="Arial" w:cs="Arial"/>
                                    <w:sz w:val="48"/>
                                    <w:szCs w:val="48"/>
                                  </w:rPr>
                                  <w:t>Annual Report 201</w:t>
                                </w:r>
                                <w:r>
                                  <w:rPr>
                                    <w:rFonts w:ascii="Arial" w:eastAsiaTheme="majorEastAsia" w:hAnsi="Arial" w:cs="Arial"/>
                                    <w:sz w:val="48"/>
                                    <w:szCs w:val="48"/>
                                  </w:rPr>
                                  <w:t>3</w:t>
                                </w:r>
                                <w:r w:rsidRPr="00B7245D">
                                  <w:rPr>
                                    <w:rFonts w:ascii="Arial" w:eastAsiaTheme="majorEastAsia" w:hAnsi="Arial" w:cs="Arial"/>
                                    <w:sz w:val="48"/>
                                    <w:szCs w:val="48"/>
                                  </w:rPr>
                                  <w:t>-1</w:t>
                                </w:r>
                                <w:r>
                                  <w:rPr>
                                    <w:rFonts w:ascii="Arial" w:eastAsiaTheme="majorEastAsia" w:hAnsi="Arial" w:cs="Arial"/>
                                    <w:sz w:val="48"/>
                                    <w:szCs w:val="48"/>
                                  </w:rPr>
                                  <w:t>4</w:t>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0</wp14:pctHeight>
                    </wp14:sizeRelV>
                  </wp:anchor>
                </w:drawing>
              </mc:Choice>
              <mc:Fallback>
                <w:pict>
                  <v:shape id="Text Box 387" o:spid="_x0000_s1027" type="#_x0000_t202" style="position:absolute;margin-left:0;margin-top:0;width:283.15pt;height:318.3pt;z-index:251667456;visibility:visible;mso-wrap-style:square;mso-width-percent:605;mso-height-percent:0;mso-left-percent:445;mso-top-percent:590;mso-wrap-distance-left:9pt;mso-wrap-distance-top:0;mso-wrap-distance-right:9pt;mso-wrap-distance-bottom:0;mso-position-horizontal-relative:margin;mso-position-vertical-relative:margin;mso-width-percent:605;mso-height-percent: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" filled="f" stroked="f" strokeweight=".5pt">
                    <v:textbox inset=",14.4pt,,7.2pt">
                      <w:txbxContent>
                        <w:p w:rsidR="007447D3" w:rsidRDefault="007447D3" w:rsidP="00A464AC">
                          <w:pPr>
                            <w:spacing w:before="240" w:after="0" w:line="240" w:lineRule="auto"/>
                            <w:suppressOverlap/>
                          </w:pPr>
                          <w:r w:rsidRPr="00B7245D">
                            <w:rPr>
                              <w:rFonts w:ascii="Arial" w:eastAsiaTheme="majorEastAsia" w:hAnsi="Arial" w:cs="Arial"/>
                              <w:sz w:val="48"/>
                              <w:szCs w:val="48"/>
                            </w:rPr>
                            <w:t>Annual Report 201</w:t>
                          </w:r>
                          <w:r>
                            <w:rPr>
                              <w:rFonts w:ascii="Arial" w:eastAsiaTheme="majorEastAsia" w:hAnsi="Arial" w:cs="Arial"/>
                              <w:sz w:val="48"/>
                              <w:szCs w:val="48"/>
                            </w:rPr>
                            <w:t>3</w:t>
                          </w:r>
                          <w:r w:rsidRPr="00B7245D">
                            <w:rPr>
                              <w:rFonts w:ascii="Arial" w:eastAsiaTheme="majorEastAsia" w:hAnsi="Arial" w:cs="Arial"/>
                              <w:sz w:val="48"/>
                              <w:szCs w:val="48"/>
                            </w:rPr>
                            <w:t>-1</w:t>
                          </w:r>
                          <w:r>
                            <w:rPr>
                              <w:rFonts w:ascii="Arial" w:eastAsiaTheme="majorEastAsia" w:hAnsi="Arial" w:cs="Arial"/>
                              <w:sz w:val="48"/>
                              <w:szCs w:val="48"/>
                            </w:rPr>
                            <w:t>4</w:t>
                          </w:r>
                        </w:p>
                      </w:txbxContent>
                    </v:textbox>
                    <w10:wrap anchorx="margin" anchory="margin"/>
                  </v:shape>
                </w:pict>
              </mc:Fallback>
            </mc:AlternateContent>
          </w:r>
          <w:r w:rsidR="00111CB1" w:rsidRPr="002F3BB0">
            <w:rPr>
              <w:rFonts w:cstheme="minorHAnsi"/>
              <w:noProof/>
              <w:sz w:val="22"/>
              <w:szCs w:val="22"/>
              <w:lang w:eastAsia="en-AU"/>
            </w:rPr>
            <mc:AlternateContent>
              <mc:Choice Requires="wps">
                <w:drawing>
                  <wp:anchor distT="0" distB="0" distL="114300" distR="114300" simplePos="0" relativeHeight="251664384" behindDoc="1" locked="0" layoutInCell="1" allowOverlap="1" wp14:anchorId="20C6DD29" wp14:editId="081F2CC3">
                    <wp:simplePos x="0" y="0"/>
                    <wp:positionH relativeFrom="margin">
                      <wp:align>center</wp:align>
                    </wp:positionH>
                    <mc:AlternateContent>
                      <mc:Choice Requires="wp14">
                        <wp:positionV relativeFrom="margin">
                          <wp14:pctPosVOffset>-5000</wp14:pctPosVOffset>
                        </wp:positionV>
                      </mc:Choice>
                      <mc:Fallback>
                        <wp:positionV relativeFrom="page">
                          <wp:posOffset>61595</wp:posOffset>
                        </wp:positionV>
                      </mc:Fallback>
                    </mc:AlternateContent>
                    <wp:extent cx="6537960" cy="5349240"/>
                    <wp:effectExtent l="0" t="0" r="635"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7447D3" w:rsidRPr="004107B1" w:rsidRDefault="007447D3">
                                <w:pPr>
                                  <w:pStyle w:val="NoSpacing"/>
                                  <w:rPr>
                                    <w:rFonts w:ascii="Arial" w:eastAsiaTheme="majorEastAsia" w:hAnsi="Arial" w:cs="Arial"/>
                                    <w:color w:val="FFFFFF" w:themeColor="background1"/>
                                    <w:sz w:val="84"/>
                                    <w:szCs w:val="72"/>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8" style="position:absolute;margin-left:0;margin-top:0;width:514.8pt;height:421.2pt;z-index:-251652096;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" fillcolor="#333 [2576]" stroked="f">
                    <v:fill color2="black [960]" rotate="t" focusposition=".5,.5" focussize="" focus="100%" type="gradientRadial"/>
                    <v:textbox inset="18pt,,108pt,7.2pt">
                      <w:txbxContent>
                        <w:p w:rsidR="007447D3" w:rsidRPr="004107B1" w:rsidRDefault="007447D3">
                          <w:pPr>
                            <w:pStyle w:val="NoSpacing"/>
                            <w:rPr>
                              <w:rFonts w:ascii="Arial" w:eastAsiaTheme="majorEastAsia" w:hAnsi="Arial" w:cs="Arial"/>
                              <w:color w:val="FFFFFF" w:themeColor="background1"/>
                              <w:sz w:val="84"/>
                              <w:szCs w:val="72"/>
                            </w:rPr>
                          </w:pPr>
                        </w:p>
                      </w:txbxContent>
                    </v:textbox>
                    <w10:wrap anchorx="margin" anchory="margin"/>
                  </v:rect>
                </w:pict>
              </mc:Fallback>
            </mc:AlternateContent>
          </w:r>
          <w:r w:rsidR="00111CB1" w:rsidRPr="002F3BB0">
            <w:rPr>
              <w:rFonts w:cstheme="minorHAnsi"/>
              <w:sz w:val="22"/>
              <w:szCs w:val="22"/>
            </w:rPr>
            <w:br w:type="page"/>
          </w:r>
        </w:p>
      </w:sdtContent>
    </w:sdt>
    <w:p w:rsidR="008913B5" w:rsidRPr="002F3BB0" w:rsidRDefault="00884BE0">
      <w:pPr>
        <w:rPr>
          <w:rFonts w:cstheme="minorHAnsi"/>
          <w:b/>
          <w:i w:val="0"/>
          <w:sz w:val="22"/>
          <w:szCs w:val="22"/>
        </w:rPr>
      </w:pPr>
      <w:r w:rsidRPr="002F3BB0">
        <w:rPr>
          <w:rFonts w:cstheme="minorHAnsi"/>
          <w:b/>
          <w:i w:val="0"/>
          <w:sz w:val="22"/>
          <w:szCs w:val="22"/>
        </w:rPr>
        <w:lastRenderedPageBreak/>
        <w:t>Annual Report 2013</w:t>
      </w:r>
      <w:r w:rsidR="008913B5" w:rsidRPr="002F3BB0">
        <w:rPr>
          <w:rFonts w:cstheme="minorHAnsi"/>
          <w:b/>
          <w:i w:val="0"/>
          <w:sz w:val="22"/>
          <w:szCs w:val="22"/>
        </w:rPr>
        <w:t>-1</w:t>
      </w:r>
      <w:r w:rsidRPr="002F3BB0">
        <w:rPr>
          <w:rFonts w:cstheme="minorHAnsi"/>
          <w:b/>
          <w:i w:val="0"/>
          <w:sz w:val="22"/>
          <w:szCs w:val="22"/>
        </w:rPr>
        <w:t>4</w:t>
      </w:r>
    </w:p>
    <w:p w:rsidR="001A23E8" w:rsidRPr="002F3BB0" w:rsidRDefault="008913B5">
      <w:pPr>
        <w:rPr>
          <w:rFonts w:cstheme="minorHAnsi"/>
          <w:i w:val="0"/>
          <w:sz w:val="22"/>
          <w:szCs w:val="22"/>
        </w:rPr>
      </w:pPr>
      <w:r w:rsidRPr="002F3BB0">
        <w:rPr>
          <w:rFonts w:cstheme="minorHAnsi"/>
          <w:i w:val="0"/>
          <w:sz w:val="22"/>
          <w:szCs w:val="22"/>
        </w:rPr>
        <w:t xml:space="preserve">The Anti-Discrimination Commission Queensland is committed to providing accessible services to Queenslanders from all culturally and linguistically diverse backgrounds. If you have difficulty in understanding the annual report, you can contact us on toll free 1300 130 670 or TTY 1300 130 680 and we will arrange an interpreter to effectively communicate the report to you. </w:t>
      </w:r>
    </w:p>
    <w:p w:rsidR="001A23E8" w:rsidRPr="002F3BB0" w:rsidRDefault="008913B5">
      <w:pPr>
        <w:rPr>
          <w:rFonts w:cstheme="minorHAnsi"/>
          <w:i w:val="0"/>
          <w:noProof/>
          <w:sz w:val="22"/>
          <w:szCs w:val="22"/>
          <w:lang w:eastAsia="en-AU"/>
        </w:rPr>
      </w:pPr>
      <w:r w:rsidRPr="002F3BB0">
        <w:rPr>
          <w:rFonts w:cstheme="minorHAnsi"/>
          <w:i w:val="0"/>
          <w:noProof/>
          <w:sz w:val="22"/>
          <w:szCs w:val="22"/>
          <w:lang w:eastAsia="en-AU"/>
        </w:rPr>
        <w:drawing>
          <wp:inline distT="0" distB="0" distL="0" distR="0" wp14:anchorId="2F04F787" wp14:editId="6C98C2D8">
            <wp:extent cx="581025" cy="581025"/>
            <wp:effectExtent l="0" t="0" r="9525" b="9525"/>
            <wp:docPr id="3" name="Picture 3" descr="National Interpreter Symb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mi.gov.au/living-in-australia/help-with-english/NIS/interpreter_symbol_text.jp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9D2CC9" w:rsidRPr="002F3BB0" w:rsidRDefault="009D2CC9">
      <w:pPr>
        <w:rPr>
          <w:rFonts w:cstheme="minorHAnsi"/>
          <w:i w:val="0"/>
          <w:noProof/>
          <w:sz w:val="22"/>
          <w:szCs w:val="22"/>
          <w:lang w:eastAsia="en-AU"/>
        </w:rPr>
      </w:pPr>
      <w:r w:rsidRPr="002F3BB0">
        <w:rPr>
          <w:rFonts w:cstheme="minorHAnsi"/>
          <w:i w:val="0"/>
          <w:noProof/>
          <w:sz w:val="22"/>
          <w:szCs w:val="22"/>
          <w:lang w:eastAsia="en-AU"/>
        </w:rPr>
        <w:t>English: If you’d like us to arrange an interpreter for this report, please call us on 1300 130 670.</w:t>
      </w:r>
    </w:p>
    <w:p w:rsidR="006F4E99" w:rsidRPr="00A63103" w:rsidRDefault="00026CD8">
      <w:pPr>
        <w:rPr>
          <w:rFonts w:cstheme="minorHAnsi"/>
          <w:i w:val="0"/>
          <w:noProof/>
          <w:sz w:val="22"/>
          <w:szCs w:val="22"/>
          <w:lang w:val="es-ES" w:eastAsia="en-AU"/>
        </w:rPr>
      </w:pPr>
      <w:r w:rsidRPr="00A63103">
        <w:rPr>
          <w:rFonts w:cstheme="minorHAnsi"/>
          <w:i w:val="0"/>
          <w:noProof/>
          <w:sz w:val="22"/>
          <w:szCs w:val="22"/>
          <w:lang w:val="es-ES" w:eastAsia="en-AU"/>
        </w:rPr>
        <w:t>Spanish: Si desea que nosotros para solicitar un intérprete de este informe, por favor llámenos en 1300 130 670</w:t>
      </w:r>
    </w:p>
    <w:p w:rsidR="00026CD8" w:rsidRPr="00A63103" w:rsidRDefault="00026CD8">
      <w:pPr>
        <w:rPr>
          <w:rFonts w:cstheme="minorHAnsi"/>
          <w:i w:val="0"/>
          <w:noProof/>
          <w:sz w:val="22"/>
          <w:szCs w:val="22"/>
          <w:lang w:val="es-ES" w:eastAsia="en-AU"/>
        </w:rPr>
      </w:pPr>
      <w:r w:rsidRPr="00A63103">
        <w:rPr>
          <w:rFonts w:cstheme="minorHAnsi"/>
          <w:i w:val="0"/>
          <w:noProof/>
          <w:sz w:val="22"/>
          <w:szCs w:val="22"/>
          <w:lang w:val="es-ES" w:eastAsia="en-AU"/>
        </w:rPr>
        <w:t>French: Si vous souhaitez organiser un interprète pour ce rapport, veuillez nous appeler au 1300 130 670</w:t>
      </w:r>
    </w:p>
    <w:p w:rsidR="00026CD8" w:rsidRPr="00A63103" w:rsidRDefault="00026CD8">
      <w:pPr>
        <w:rPr>
          <w:rFonts w:cstheme="minorHAnsi"/>
          <w:i w:val="0"/>
          <w:noProof/>
          <w:sz w:val="22"/>
          <w:szCs w:val="22"/>
          <w:lang w:val="es-ES" w:eastAsia="en-AU"/>
        </w:rPr>
      </w:pPr>
      <w:r w:rsidRPr="00A63103">
        <w:rPr>
          <w:rFonts w:cstheme="minorHAnsi"/>
          <w:i w:val="0"/>
          <w:noProof/>
          <w:sz w:val="22"/>
          <w:szCs w:val="22"/>
          <w:lang w:val="es-ES" w:eastAsia="en-AU"/>
        </w:rPr>
        <w:t xml:space="preserve">Chinese: </w:t>
      </w:r>
      <w:r w:rsidRPr="002F3BB0">
        <w:rPr>
          <w:rFonts w:eastAsia="MS Gothic" w:cstheme="minorHAnsi"/>
          <w:i w:val="0"/>
          <w:noProof/>
          <w:sz w:val="22"/>
          <w:szCs w:val="22"/>
          <w:lang w:eastAsia="en-AU"/>
        </w:rPr>
        <w:t>如果您想</w:t>
      </w:r>
      <w:r w:rsidRPr="002F3BB0">
        <w:rPr>
          <w:rFonts w:eastAsia="MingLiU" w:cstheme="minorHAnsi"/>
          <w:i w:val="0"/>
          <w:noProof/>
          <w:sz w:val="22"/>
          <w:szCs w:val="22"/>
          <w:lang w:eastAsia="en-AU"/>
        </w:rPr>
        <w:t>让</w:t>
      </w:r>
      <w:r w:rsidRPr="002F3BB0">
        <w:rPr>
          <w:rFonts w:eastAsia="MS Mincho" w:cstheme="minorHAnsi"/>
          <w:i w:val="0"/>
          <w:noProof/>
          <w:sz w:val="22"/>
          <w:szCs w:val="22"/>
          <w:lang w:eastAsia="en-AU"/>
        </w:rPr>
        <w:t>我</w:t>
      </w:r>
      <w:r w:rsidRPr="002F3BB0">
        <w:rPr>
          <w:rFonts w:eastAsia="MingLiU" w:cstheme="minorHAnsi"/>
          <w:i w:val="0"/>
          <w:noProof/>
          <w:sz w:val="22"/>
          <w:szCs w:val="22"/>
          <w:lang w:eastAsia="en-AU"/>
        </w:rPr>
        <w:t>们为</w:t>
      </w:r>
      <w:r w:rsidRPr="002F3BB0">
        <w:rPr>
          <w:rFonts w:eastAsia="MS Mincho" w:cstheme="minorHAnsi"/>
          <w:i w:val="0"/>
          <w:noProof/>
          <w:sz w:val="22"/>
          <w:szCs w:val="22"/>
          <w:lang w:eastAsia="en-AU"/>
        </w:rPr>
        <w:t>此</w:t>
      </w:r>
      <w:r w:rsidRPr="002F3BB0">
        <w:rPr>
          <w:rFonts w:eastAsia="MingLiU" w:cstheme="minorHAnsi"/>
          <w:i w:val="0"/>
          <w:noProof/>
          <w:sz w:val="22"/>
          <w:szCs w:val="22"/>
          <w:lang w:eastAsia="en-AU"/>
        </w:rPr>
        <w:t>报</w:t>
      </w:r>
      <w:r w:rsidRPr="002F3BB0">
        <w:rPr>
          <w:rFonts w:eastAsia="MS Mincho" w:cstheme="minorHAnsi"/>
          <w:i w:val="0"/>
          <w:noProof/>
          <w:sz w:val="22"/>
          <w:szCs w:val="22"/>
          <w:lang w:eastAsia="en-AU"/>
        </w:rPr>
        <w:t>告安排</w:t>
      </w:r>
      <w:r w:rsidRPr="002F3BB0">
        <w:rPr>
          <w:rFonts w:eastAsia="MingLiU" w:cstheme="minorHAnsi"/>
          <w:i w:val="0"/>
          <w:noProof/>
          <w:sz w:val="22"/>
          <w:szCs w:val="22"/>
          <w:lang w:eastAsia="en-AU"/>
        </w:rPr>
        <w:t>传译员</w:t>
      </w:r>
      <w:r w:rsidRPr="00A63103">
        <w:rPr>
          <w:rFonts w:eastAsia="MS Mincho" w:cstheme="minorHAnsi" w:hint="eastAsia"/>
          <w:i w:val="0"/>
          <w:noProof/>
          <w:sz w:val="22"/>
          <w:szCs w:val="22"/>
          <w:lang w:val="es-ES" w:eastAsia="en-AU"/>
        </w:rPr>
        <w:t>，</w:t>
      </w:r>
      <w:r w:rsidRPr="002F3BB0">
        <w:rPr>
          <w:rFonts w:eastAsia="MingLiU" w:cstheme="minorHAnsi"/>
          <w:i w:val="0"/>
          <w:noProof/>
          <w:sz w:val="22"/>
          <w:szCs w:val="22"/>
          <w:lang w:eastAsia="en-AU"/>
        </w:rPr>
        <w:t>请</w:t>
      </w:r>
      <w:r w:rsidRPr="002F3BB0">
        <w:rPr>
          <w:rFonts w:eastAsia="MS Mincho" w:cstheme="minorHAnsi"/>
          <w:i w:val="0"/>
          <w:noProof/>
          <w:sz w:val="22"/>
          <w:szCs w:val="22"/>
          <w:lang w:eastAsia="en-AU"/>
        </w:rPr>
        <w:t>致</w:t>
      </w:r>
      <w:r w:rsidRPr="002F3BB0">
        <w:rPr>
          <w:rFonts w:eastAsia="MingLiU" w:cstheme="minorHAnsi"/>
          <w:i w:val="0"/>
          <w:noProof/>
          <w:sz w:val="22"/>
          <w:szCs w:val="22"/>
          <w:lang w:eastAsia="en-AU"/>
        </w:rPr>
        <w:t>电</w:t>
      </w:r>
      <w:r w:rsidRPr="002F3BB0">
        <w:rPr>
          <w:rFonts w:eastAsia="MS Mincho" w:cstheme="minorHAnsi"/>
          <w:i w:val="0"/>
          <w:noProof/>
          <w:sz w:val="22"/>
          <w:szCs w:val="22"/>
          <w:lang w:eastAsia="en-AU"/>
        </w:rPr>
        <w:t>我</w:t>
      </w:r>
      <w:r w:rsidRPr="002F3BB0">
        <w:rPr>
          <w:rFonts w:eastAsia="MingLiU" w:cstheme="minorHAnsi"/>
          <w:i w:val="0"/>
          <w:noProof/>
          <w:sz w:val="22"/>
          <w:szCs w:val="22"/>
          <w:lang w:eastAsia="en-AU"/>
        </w:rPr>
        <w:t>们</w:t>
      </w:r>
      <w:r w:rsidRPr="00A63103">
        <w:rPr>
          <w:rFonts w:cstheme="minorHAnsi"/>
          <w:i w:val="0"/>
          <w:noProof/>
          <w:sz w:val="22"/>
          <w:szCs w:val="22"/>
          <w:lang w:val="es-ES" w:eastAsia="en-AU"/>
        </w:rPr>
        <w:t xml:space="preserve"> 1300</w:t>
      </w:r>
      <w:r w:rsidRPr="002F3BB0">
        <w:rPr>
          <w:rFonts w:eastAsia="MS Gothic" w:cstheme="minorHAnsi"/>
          <w:i w:val="0"/>
          <w:noProof/>
          <w:sz w:val="22"/>
          <w:szCs w:val="22"/>
          <w:lang w:eastAsia="en-AU"/>
        </w:rPr>
        <w:t>年</w:t>
      </w:r>
      <w:r w:rsidRPr="00A63103">
        <w:rPr>
          <w:rFonts w:cstheme="minorHAnsi"/>
          <w:i w:val="0"/>
          <w:noProof/>
          <w:sz w:val="22"/>
          <w:szCs w:val="22"/>
          <w:lang w:val="es-ES" w:eastAsia="en-AU"/>
        </w:rPr>
        <w:t xml:space="preserve"> 130 670</w:t>
      </w:r>
    </w:p>
    <w:p w:rsidR="00026CD8" w:rsidRPr="00A63103" w:rsidRDefault="00026CD8">
      <w:pPr>
        <w:rPr>
          <w:rFonts w:cstheme="minorHAnsi"/>
          <w:i w:val="0"/>
          <w:noProof/>
          <w:sz w:val="22"/>
          <w:szCs w:val="22"/>
          <w:lang w:val="es-ES" w:eastAsia="en-AU"/>
        </w:rPr>
      </w:pPr>
      <w:r w:rsidRPr="00A63103">
        <w:rPr>
          <w:rFonts w:cstheme="minorHAnsi"/>
          <w:i w:val="0"/>
          <w:noProof/>
          <w:sz w:val="22"/>
          <w:szCs w:val="22"/>
          <w:lang w:val="es-ES" w:eastAsia="en-AU"/>
        </w:rPr>
        <w:t xml:space="preserve">Arabic: </w:t>
      </w:r>
      <w:r w:rsidRPr="002F3BB0">
        <w:rPr>
          <w:rFonts w:cstheme="minorHAnsi"/>
          <w:i w:val="0"/>
          <w:noProof/>
          <w:sz w:val="22"/>
          <w:szCs w:val="22"/>
          <w:lang w:eastAsia="en-AU"/>
        </w:rPr>
        <w:t>إذا</w:t>
      </w:r>
      <w:r w:rsidRPr="00A63103">
        <w:rPr>
          <w:rFonts w:cstheme="minorHAnsi"/>
          <w:i w:val="0"/>
          <w:noProof/>
          <w:sz w:val="22"/>
          <w:szCs w:val="22"/>
          <w:lang w:val="es-ES" w:eastAsia="en-AU"/>
        </w:rPr>
        <w:t xml:space="preserve"> </w:t>
      </w:r>
      <w:r w:rsidRPr="002F3BB0">
        <w:rPr>
          <w:rFonts w:cstheme="minorHAnsi"/>
          <w:i w:val="0"/>
          <w:noProof/>
          <w:sz w:val="22"/>
          <w:szCs w:val="22"/>
          <w:lang w:eastAsia="en-AU"/>
        </w:rPr>
        <w:t>كنت</w:t>
      </w:r>
      <w:r w:rsidRPr="00A63103">
        <w:rPr>
          <w:rFonts w:cstheme="minorHAnsi"/>
          <w:i w:val="0"/>
          <w:noProof/>
          <w:sz w:val="22"/>
          <w:szCs w:val="22"/>
          <w:lang w:val="es-ES" w:eastAsia="en-AU"/>
        </w:rPr>
        <w:t xml:space="preserve"> </w:t>
      </w:r>
      <w:r w:rsidRPr="002F3BB0">
        <w:rPr>
          <w:rFonts w:cstheme="minorHAnsi"/>
          <w:i w:val="0"/>
          <w:noProof/>
          <w:sz w:val="22"/>
          <w:szCs w:val="22"/>
          <w:lang w:eastAsia="en-AU"/>
        </w:rPr>
        <w:t>تريد</w:t>
      </w:r>
      <w:r w:rsidRPr="00A63103">
        <w:rPr>
          <w:rFonts w:cstheme="minorHAnsi"/>
          <w:i w:val="0"/>
          <w:noProof/>
          <w:sz w:val="22"/>
          <w:szCs w:val="22"/>
          <w:lang w:val="es-ES" w:eastAsia="en-AU"/>
        </w:rPr>
        <w:t xml:space="preserve"> </w:t>
      </w:r>
      <w:r w:rsidRPr="002F3BB0">
        <w:rPr>
          <w:rFonts w:cstheme="minorHAnsi"/>
          <w:i w:val="0"/>
          <w:noProof/>
          <w:sz w:val="22"/>
          <w:szCs w:val="22"/>
          <w:lang w:eastAsia="en-AU"/>
        </w:rPr>
        <w:t>منا</w:t>
      </w:r>
      <w:r w:rsidRPr="00A63103">
        <w:rPr>
          <w:rFonts w:cstheme="minorHAnsi"/>
          <w:i w:val="0"/>
          <w:noProof/>
          <w:sz w:val="22"/>
          <w:szCs w:val="22"/>
          <w:lang w:val="es-ES" w:eastAsia="en-AU"/>
        </w:rPr>
        <w:t xml:space="preserve"> </w:t>
      </w:r>
      <w:r w:rsidRPr="002F3BB0">
        <w:rPr>
          <w:rFonts w:cstheme="minorHAnsi"/>
          <w:i w:val="0"/>
          <w:noProof/>
          <w:sz w:val="22"/>
          <w:szCs w:val="22"/>
          <w:lang w:eastAsia="en-AU"/>
        </w:rPr>
        <w:t>أن</w:t>
      </w:r>
      <w:r w:rsidRPr="00A63103">
        <w:rPr>
          <w:rFonts w:cstheme="minorHAnsi"/>
          <w:i w:val="0"/>
          <w:noProof/>
          <w:sz w:val="22"/>
          <w:szCs w:val="22"/>
          <w:lang w:val="es-ES" w:eastAsia="en-AU"/>
        </w:rPr>
        <w:t xml:space="preserve"> </w:t>
      </w:r>
      <w:r w:rsidRPr="002F3BB0">
        <w:rPr>
          <w:rFonts w:cstheme="minorHAnsi"/>
          <w:i w:val="0"/>
          <w:noProof/>
          <w:sz w:val="22"/>
          <w:szCs w:val="22"/>
          <w:lang w:eastAsia="en-AU"/>
        </w:rPr>
        <w:t>يرتب</w:t>
      </w:r>
      <w:r w:rsidRPr="00A63103">
        <w:rPr>
          <w:rFonts w:cstheme="minorHAnsi"/>
          <w:i w:val="0"/>
          <w:noProof/>
          <w:sz w:val="22"/>
          <w:szCs w:val="22"/>
          <w:lang w:val="es-ES" w:eastAsia="en-AU"/>
        </w:rPr>
        <w:t xml:space="preserve"> </w:t>
      </w:r>
      <w:r w:rsidRPr="002F3BB0">
        <w:rPr>
          <w:rFonts w:cstheme="minorHAnsi"/>
          <w:i w:val="0"/>
          <w:noProof/>
          <w:sz w:val="22"/>
          <w:szCs w:val="22"/>
          <w:lang w:eastAsia="en-AU"/>
        </w:rPr>
        <w:t>مترجما</w:t>
      </w:r>
      <w:r w:rsidRPr="00A63103">
        <w:rPr>
          <w:rFonts w:cstheme="minorHAnsi"/>
          <w:i w:val="0"/>
          <w:noProof/>
          <w:sz w:val="22"/>
          <w:szCs w:val="22"/>
          <w:lang w:val="es-ES" w:eastAsia="en-AU"/>
        </w:rPr>
        <w:t xml:space="preserve"> </w:t>
      </w:r>
      <w:r w:rsidRPr="002F3BB0">
        <w:rPr>
          <w:rFonts w:cstheme="minorHAnsi"/>
          <w:i w:val="0"/>
          <w:noProof/>
          <w:sz w:val="22"/>
          <w:szCs w:val="22"/>
          <w:lang w:eastAsia="en-AU"/>
        </w:rPr>
        <w:t>لهذا</w:t>
      </w:r>
      <w:r w:rsidRPr="00A63103">
        <w:rPr>
          <w:rFonts w:cstheme="minorHAnsi"/>
          <w:i w:val="0"/>
          <w:noProof/>
          <w:sz w:val="22"/>
          <w:szCs w:val="22"/>
          <w:lang w:val="es-ES" w:eastAsia="en-AU"/>
        </w:rPr>
        <w:t xml:space="preserve"> </w:t>
      </w:r>
      <w:r w:rsidRPr="002F3BB0">
        <w:rPr>
          <w:rFonts w:cstheme="minorHAnsi"/>
          <w:i w:val="0"/>
          <w:noProof/>
          <w:sz w:val="22"/>
          <w:szCs w:val="22"/>
          <w:lang w:eastAsia="en-AU"/>
        </w:rPr>
        <w:t>التقرير،</w:t>
      </w:r>
      <w:r w:rsidRPr="00A63103">
        <w:rPr>
          <w:rFonts w:cstheme="minorHAnsi"/>
          <w:i w:val="0"/>
          <w:noProof/>
          <w:sz w:val="22"/>
          <w:szCs w:val="22"/>
          <w:lang w:val="es-ES" w:eastAsia="en-AU"/>
        </w:rPr>
        <w:t xml:space="preserve"> </w:t>
      </w:r>
      <w:r w:rsidRPr="002F3BB0">
        <w:rPr>
          <w:rFonts w:cstheme="minorHAnsi"/>
          <w:i w:val="0"/>
          <w:noProof/>
          <w:sz w:val="22"/>
          <w:szCs w:val="22"/>
          <w:lang w:eastAsia="en-AU"/>
        </w:rPr>
        <w:t>يرجى</w:t>
      </w:r>
      <w:r w:rsidRPr="00A63103">
        <w:rPr>
          <w:rFonts w:cstheme="minorHAnsi"/>
          <w:i w:val="0"/>
          <w:noProof/>
          <w:sz w:val="22"/>
          <w:szCs w:val="22"/>
          <w:lang w:val="es-ES" w:eastAsia="en-AU"/>
        </w:rPr>
        <w:t xml:space="preserve"> </w:t>
      </w:r>
      <w:r w:rsidRPr="002F3BB0">
        <w:rPr>
          <w:rFonts w:cstheme="minorHAnsi"/>
          <w:i w:val="0"/>
          <w:noProof/>
          <w:sz w:val="22"/>
          <w:szCs w:val="22"/>
          <w:lang w:eastAsia="en-AU"/>
        </w:rPr>
        <w:t>الاتصال</w:t>
      </w:r>
      <w:r w:rsidRPr="00A63103">
        <w:rPr>
          <w:rFonts w:cstheme="minorHAnsi"/>
          <w:i w:val="0"/>
          <w:noProof/>
          <w:sz w:val="22"/>
          <w:szCs w:val="22"/>
          <w:lang w:val="es-ES" w:eastAsia="en-AU"/>
        </w:rPr>
        <w:t xml:space="preserve"> </w:t>
      </w:r>
      <w:r w:rsidRPr="002F3BB0">
        <w:rPr>
          <w:rFonts w:cstheme="minorHAnsi"/>
          <w:i w:val="0"/>
          <w:noProof/>
          <w:sz w:val="22"/>
          <w:szCs w:val="22"/>
          <w:lang w:eastAsia="en-AU"/>
        </w:rPr>
        <w:t>بنا</w:t>
      </w:r>
      <w:r w:rsidRPr="00A63103">
        <w:rPr>
          <w:rFonts w:cstheme="minorHAnsi"/>
          <w:i w:val="0"/>
          <w:noProof/>
          <w:sz w:val="22"/>
          <w:szCs w:val="22"/>
          <w:lang w:val="es-ES" w:eastAsia="en-AU"/>
        </w:rPr>
        <w:t xml:space="preserve"> </w:t>
      </w:r>
      <w:r w:rsidRPr="002F3BB0">
        <w:rPr>
          <w:rFonts w:cstheme="minorHAnsi"/>
          <w:i w:val="0"/>
          <w:noProof/>
          <w:sz w:val="22"/>
          <w:szCs w:val="22"/>
          <w:lang w:eastAsia="en-AU"/>
        </w:rPr>
        <w:t>على</w:t>
      </w:r>
      <w:r w:rsidRPr="00A63103">
        <w:rPr>
          <w:rFonts w:cstheme="minorHAnsi"/>
          <w:i w:val="0"/>
          <w:noProof/>
          <w:sz w:val="22"/>
          <w:szCs w:val="22"/>
          <w:lang w:val="es-ES" w:eastAsia="en-AU"/>
        </w:rPr>
        <w:t xml:space="preserve"> 1300 130 670</w:t>
      </w:r>
    </w:p>
    <w:p w:rsidR="00026CD8" w:rsidRPr="002F3BB0" w:rsidRDefault="00026CD8">
      <w:pPr>
        <w:rPr>
          <w:rFonts w:cstheme="minorHAnsi"/>
          <w:i w:val="0"/>
          <w:noProof/>
          <w:sz w:val="22"/>
          <w:szCs w:val="22"/>
          <w:lang w:eastAsia="en-AU"/>
        </w:rPr>
      </w:pPr>
      <w:r w:rsidRPr="002F3BB0">
        <w:rPr>
          <w:rFonts w:cstheme="minorHAnsi"/>
          <w:i w:val="0"/>
          <w:noProof/>
          <w:sz w:val="22"/>
          <w:szCs w:val="22"/>
          <w:lang w:eastAsia="en-AU"/>
        </w:rPr>
        <w:t>German: Wenn Sie uns einen Dolmetscher für diesen Bericht anordnen möchten, rufen Sie uns bitte auf 1300 130 670</w:t>
      </w:r>
    </w:p>
    <w:p w:rsidR="009D2CC9" w:rsidRPr="002F3BB0" w:rsidRDefault="00026CD8" w:rsidP="00026CD8">
      <w:pPr>
        <w:rPr>
          <w:rFonts w:cstheme="minorHAnsi"/>
          <w:i w:val="0"/>
          <w:noProof/>
          <w:sz w:val="22"/>
          <w:szCs w:val="22"/>
          <w:lang w:eastAsia="en-AU"/>
        </w:rPr>
      </w:pPr>
      <w:r w:rsidRPr="002F3BB0">
        <w:rPr>
          <w:rFonts w:cstheme="minorHAnsi"/>
          <w:i w:val="0"/>
          <w:noProof/>
          <w:sz w:val="22"/>
          <w:szCs w:val="22"/>
          <w:lang w:eastAsia="en-AU"/>
        </w:rPr>
        <w:t>Turkish: Lütfen bizi arayın 1300 130 670 bizimle bu rapor için bir tercüman istiyorsanız,</w:t>
      </w:r>
    </w:p>
    <w:p w:rsidR="00396184" w:rsidRPr="002F3BB0" w:rsidRDefault="00026CD8">
      <w:pPr>
        <w:rPr>
          <w:rFonts w:cstheme="minorHAnsi"/>
          <w:i w:val="0"/>
          <w:noProof/>
          <w:sz w:val="22"/>
          <w:szCs w:val="22"/>
          <w:lang w:eastAsia="en-AU"/>
        </w:rPr>
      </w:pPr>
      <w:r w:rsidRPr="002F3BB0">
        <w:rPr>
          <w:rFonts w:cstheme="minorHAnsi"/>
          <w:i w:val="0"/>
          <w:noProof/>
          <w:sz w:val="22"/>
          <w:szCs w:val="22"/>
          <w:lang w:eastAsia="en-AU"/>
        </w:rPr>
        <w:t xml:space="preserve">Japanese: </w:t>
      </w:r>
      <w:r w:rsidRPr="002F3BB0">
        <w:rPr>
          <w:rFonts w:eastAsia="MS Gothic" w:cstheme="minorHAnsi"/>
          <w:i w:val="0"/>
          <w:noProof/>
          <w:sz w:val="22"/>
          <w:szCs w:val="22"/>
          <w:lang w:eastAsia="en-AU"/>
        </w:rPr>
        <w:t>このレポートのための通訳の手配を希望する場合は、</w:t>
      </w:r>
      <w:r w:rsidRPr="002F3BB0">
        <w:rPr>
          <w:rFonts w:cstheme="minorHAnsi"/>
          <w:i w:val="0"/>
          <w:noProof/>
          <w:sz w:val="22"/>
          <w:szCs w:val="22"/>
          <w:lang w:eastAsia="en-AU"/>
        </w:rPr>
        <w:t>1300</w:t>
      </w:r>
      <w:r w:rsidRPr="002F3BB0">
        <w:rPr>
          <w:rFonts w:eastAsia="MS Gothic" w:cstheme="minorHAnsi"/>
          <w:i w:val="0"/>
          <w:noProof/>
          <w:sz w:val="22"/>
          <w:szCs w:val="22"/>
          <w:lang w:eastAsia="en-AU"/>
        </w:rPr>
        <w:t>年</w:t>
      </w:r>
      <w:r w:rsidRPr="002F3BB0">
        <w:rPr>
          <w:rFonts w:cstheme="minorHAnsi"/>
          <w:i w:val="0"/>
          <w:noProof/>
          <w:sz w:val="22"/>
          <w:szCs w:val="22"/>
          <w:lang w:eastAsia="en-AU"/>
        </w:rPr>
        <w:t xml:space="preserve"> 130 670 </w:t>
      </w:r>
      <w:r w:rsidRPr="002F3BB0">
        <w:rPr>
          <w:rFonts w:eastAsia="MS Gothic" w:cstheme="minorHAnsi"/>
          <w:i w:val="0"/>
          <w:noProof/>
          <w:sz w:val="22"/>
          <w:szCs w:val="22"/>
          <w:lang w:eastAsia="en-AU"/>
        </w:rPr>
        <w:t>に問い合わせください。</w:t>
      </w:r>
    </w:p>
    <w:p w:rsidR="00026CD8" w:rsidRPr="002F3BB0" w:rsidRDefault="00026CD8">
      <w:pPr>
        <w:rPr>
          <w:rFonts w:cstheme="minorHAnsi"/>
          <w:i w:val="0"/>
          <w:noProof/>
          <w:sz w:val="22"/>
          <w:szCs w:val="22"/>
          <w:lang w:eastAsia="en-AU"/>
        </w:rPr>
      </w:pPr>
      <w:r w:rsidRPr="002F3BB0">
        <w:rPr>
          <w:rFonts w:cstheme="minorHAnsi"/>
          <w:i w:val="0"/>
          <w:noProof/>
          <w:sz w:val="22"/>
          <w:szCs w:val="22"/>
          <w:lang w:eastAsia="en-AU"/>
        </w:rPr>
        <w:t>Dutch: Als u wij dat wilt te regelen een tolk voor dit verslag, bel ons op 1300 130 670</w:t>
      </w:r>
    </w:p>
    <w:p w:rsidR="00026CD8" w:rsidRPr="002F3BB0" w:rsidRDefault="00026CD8">
      <w:pPr>
        <w:rPr>
          <w:rFonts w:cstheme="minorHAnsi"/>
          <w:i w:val="0"/>
          <w:noProof/>
          <w:sz w:val="22"/>
          <w:szCs w:val="22"/>
          <w:lang w:eastAsia="en-AU"/>
        </w:rPr>
      </w:pPr>
      <w:r w:rsidRPr="002F3BB0">
        <w:rPr>
          <w:rFonts w:cstheme="minorHAnsi"/>
          <w:i w:val="0"/>
          <w:noProof/>
          <w:sz w:val="22"/>
          <w:szCs w:val="22"/>
          <w:lang w:eastAsia="en-AU"/>
        </w:rPr>
        <w:t xml:space="preserve">Korean: </w:t>
      </w:r>
      <w:r w:rsidRPr="002F3BB0">
        <w:rPr>
          <w:rFonts w:eastAsia="Batang" w:cstheme="minorHAnsi"/>
          <w:i w:val="0"/>
          <w:noProof/>
          <w:sz w:val="22"/>
          <w:szCs w:val="22"/>
          <w:lang w:eastAsia="en-AU"/>
        </w:rPr>
        <w:t>우리가이</w:t>
      </w:r>
      <w:r w:rsidRPr="002F3BB0">
        <w:rPr>
          <w:rFonts w:cstheme="minorHAnsi"/>
          <w:i w:val="0"/>
          <w:noProof/>
          <w:sz w:val="22"/>
          <w:szCs w:val="22"/>
          <w:lang w:eastAsia="en-AU"/>
        </w:rPr>
        <w:t xml:space="preserve"> </w:t>
      </w:r>
      <w:r w:rsidRPr="002F3BB0">
        <w:rPr>
          <w:rFonts w:eastAsia="Batang" w:cstheme="minorHAnsi"/>
          <w:i w:val="0"/>
          <w:noProof/>
          <w:sz w:val="22"/>
          <w:szCs w:val="22"/>
          <w:lang w:eastAsia="en-AU"/>
        </w:rPr>
        <w:t>보고서에</w:t>
      </w:r>
      <w:r w:rsidRPr="002F3BB0">
        <w:rPr>
          <w:rFonts w:cstheme="minorHAnsi"/>
          <w:i w:val="0"/>
          <w:noProof/>
          <w:sz w:val="22"/>
          <w:szCs w:val="22"/>
          <w:lang w:eastAsia="en-AU"/>
        </w:rPr>
        <w:t xml:space="preserve"> </w:t>
      </w:r>
      <w:r w:rsidRPr="002F3BB0">
        <w:rPr>
          <w:rFonts w:eastAsia="Batang" w:cstheme="minorHAnsi"/>
          <w:i w:val="0"/>
          <w:noProof/>
          <w:sz w:val="22"/>
          <w:szCs w:val="22"/>
          <w:lang w:eastAsia="en-AU"/>
        </w:rPr>
        <w:t>대</w:t>
      </w:r>
      <w:r w:rsidRPr="002F3BB0">
        <w:rPr>
          <w:rFonts w:cstheme="minorHAnsi"/>
          <w:i w:val="0"/>
          <w:noProof/>
          <w:sz w:val="22"/>
          <w:szCs w:val="22"/>
          <w:lang w:eastAsia="en-AU"/>
        </w:rPr>
        <w:t xml:space="preserve"> </w:t>
      </w:r>
      <w:r w:rsidRPr="002F3BB0">
        <w:rPr>
          <w:rFonts w:eastAsia="Batang" w:cstheme="minorHAnsi"/>
          <w:i w:val="0"/>
          <w:noProof/>
          <w:sz w:val="22"/>
          <w:szCs w:val="22"/>
          <w:lang w:eastAsia="en-AU"/>
        </w:rPr>
        <w:t>한</w:t>
      </w:r>
      <w:r w:rsidRPr="002F3BB0">
        <w:rPr>
          <w:rFonts w:cstheme="minorHAnsi"/>
          <w:i w:val="0"/>
          <w:noProof/>
          <w:sz w:val="22"/>
          <w:szCs w:val="22"/>
          <w:lang w:eastAsia="en-AU"/>
        </w:rPr>
        <w:t xml:space="preserve"> </w:t>
      </w:r>
      <w:r w:rsidRPr="002F3BB0">
        <w:rPr>
          <w:rFonts w:eastAsia="Batang" w:cstheme="minorHAnsi"/>
          <w:i w:val="0"/>
          <w:noProof/>
          <w:sz w:val="22"/>
          <w:szCs w:val="22"/>
          <w:lang w:eastAsia="en-AU"/>
        </w:rPr>
        <w:t>해석자를</w:t>
      </w:r>
      <w:r w:rsidRPr="002F3BB0">
        <w:rPr>
          <w:rFonts w:cstheme="minorHAnsi"/>
          <w:i w:val="0"/>
          <w:noProof/>
          <w:sz w:val="22"/>
          <w:szCs w:val="22"/>
          <w:lang w:eastAsia="en-AU"/>
        </w:rPr>
        <w:t xml:space="preserve"> </w:t>
      </w:r>
      <w:r w:rsidRPr="002F3BB0">
        <w:rPr>
          <w:rFonts w:eastAsia="Batang" w:cstheme="minorHAnsi"/>
          <w:i w:val="0"/>
          <w:noProof/>
          <w:sz w:val="22"/>
          <w:szCs w:val="22"/>
          <w:lang w:eastAsia="en-AU"/>
        </w:rPr>
        <w:t>정렬</w:t>
      </w:r>
      <w:r w:rsidRPr="002F3BB0">
        <w:rPr>
          <w:rFonts w:cstheme="minorHAnsi"/>
          <w:i w:val="0"/>
          <w:noProof/>
          <w:sz w:val="22"/>
          <w:szCs w:val="22"/>
          <w:lang w:eastAsia="en-AU"/>
        </w:rPr>
        <w:t xml:space="preserve"> </w:t>
      </w:r>
      <w:r w:rsidRPr="002F3BB0">
        <w:rPr>
          <w:rFonts w:eastAsia="Batang" w:cstheme="minorHAnsi"/>
          <w:i w:val="0"/>
          <w:noProof/>
          <w:sz w:val="22"/>
          <w:szCs w:val="22"/>
          <w:lang w:eastAsia="en-AU"/>
        </w:rPr>
        <w:t>작업을</w:t>
      </w:r>
      <w:r w:rsidRPr="002F3BB0">
        <w:rPr>
          <w:rFonts w:cstheme="minorHAnsi"/>
          <w:i w:val="0"/>
          <w:noProof/>
          <w:sz w:val="22"/>
          <w:szCs w:val="22"/>
          <w:lang w:eastAsia="en-AU"/>
        </w:rPr>
        <w:t xml:space="preserve"> </w:t>
      </w:r>
      <w:r w:rsidRPr="002F3BB0">
        <w:rPr>
          <w:rFonts w:eastAsia="Batang" w:cstheme="minorHAnsi"/>
          <w:i w:val="0"/>
          <w:noProof/>
          <w:sz w:val="22"/>
          <w:szCs w:val="22"/>
          <w:lang w:eastAsia="en-AU"/>
        </w:rPr>
        <w:t>원하시면</w:t>
      </w:r>
      <w:r w:rsidRPr="002F3BB0">
        <w:rPr>
          <w:rFonts w:cstheme="minorHAnsi"/>
          <w:i w:val="0"/>
          <w:noProof/>
          <w:sz w:val="22"/>
          <w:szCs w:val="22"/>
          <w:lang w:eastAsia="en-AU"/>
        </w:rPr>
        <w:t xml:space="preserve"> </w:t>
      </w:r>
      <w:r w:rsidRPr="002F3BB0">
        <w:rPr>
          <w:rFonts w:eastAsia="Batang" w:cstheme="minorHAnsi"/>
          <w:i w:val="0"/>
          <w:noProof/>
          <w:sz w:val="22"/>
          <w:szCs w:val="22"/>
          <w:lang w:eastAsia="en-AU"/>
        </w:rPr>
        <w:t>전화</w:t>
      </w:r>
      <w:r w:rsidRPr="002F3BB0">
        <w:rPr>
          <w:rFonts w:cstheme="minorHAnsi"/>
          <w:i w:val="0"/>
          <w:noProof/>
          <w:sz w:val="22"/>
          <w:szCs w:val="22"/>
          <w:lang w:eastAsia="en-AU"/>
        </w:rPr>
        <w:t xml:space="preserve"> </w:t>
      </w:r>
      <w:r w:rsidRPr="002F3BB0">
        <w:rPr>
          <w:rFonts w:eastAsia="Batang" w:cstheme="minorHAnsi"/>
          <w:i w:val="0"/>
          <w:noProof/>
          <w:sz w:val="22"/>
          <w:szCs w:val="22"/>
          <w:lang w:eastAsia="en-AU"/>
        </w:rPr>
        <w:t>주시기</w:t>
      </w:r>
      <w:r w:rsidRPr="002F3BB0">
        <w:rPr>
          <w:rFonts w:cstheme="minorHAnsi"/>
          <w:i w:val="0"/>
          <w:noProof/>
          <w:sz w:val="22"/>
          <w:szCs w:val="22"/>
          <w:lang w:eastAsia="en-AU"/>
        </w:rPr>
        <w:t xml:space="preserve"> </w:t>
      </w:r>
      <w:r w:rsidRPr="002F3BB0">
        <w:rPr>
          <w:rFonts w:eastAsia="Batang" w:cstheme="minorHAnsi"/>
          <w:i w:val="0"/>
          <w:noProof/>
          <w:sz w:val="22"/>
          <w:szCs w:val="22"/>
          <w:lang w:eastAsia="en-AU"/>
        </w:rPr>
        <w:t>바랍니다에</w:t>
      </w:r>
      <w:r w:rsidRPr="002F3BB0">
        <w:rPr>
          <w:rFonts w:cstheme="minorHAnsi"/>
          <w:i w:val="0"/>
          <w:noProof/>
          <w:sz w:val="22"/>
          <w:szCs w:val="22"/>
          <w:lang w:eastAsia="en-AU"/>
        </w:rPr>
        <w:t xml:space="preserve"> 1300 130 670</w:t>
      </w:r>
    </w:p>
    <w:p w:rsidR="008913B5" w:rsidRPr="002F3BB0" w:rsidRDefault="008913B5">
      <w:pPr>
        <w:rPr>
          <w:rFonts w:cstheme="minorHAnsi"/>
          <w:i w:val="0"/>
          <w:sz w:val="22"/>
          <w:szCs w:val="22"/>
        </w:rPr>
      </w:pPr>
      <w:r w:rsidRPr="002F3BB0">
        <w:rPr>
          <w:rFonts w:cstheme="minorHAnsi"/>
          <w:i w:val="0"/>
          <w:sz w:val="22"/>
          <w:szCs w:val="22"/>
        </w:rPr>
        <w:t xml:space="preserve">© Anti-Discrimination </w:t>
      </w:r>
      <w:r w:rsidR="00B014D3" w:rsidRPr="002F3BB0">
        <w:rPr>
          <w:rFonts w:cstheme="minorHAnsi"/>
          <w:i w:val="0"/>
          <w:sz w:val="22"/>
          <w:szCs w:val="22"/>
        </w:rPr>
        <w:t>Commission Queensland 201</w:t>
      </w:r>
      <w:r w:rsidR="00884BE0" w:rsidRPr="002F3BB0">
        <w:rPr>
          <w:rFonts w:cstheme="minorHAnsi"/>
          <w:i w:val="0"/>
          <w:sz w:val="22"/>
          <w:szCs w:val="22"/>
        </w:rPr>
        <w:t>4</w:t>
      </w:r>
    </w:p>
    <w:p w:rsidR="008913B5" w:rsidRPr="002F3BB0" w:rsidRDefault="008913B5">
      <w:pPr>
        <w:rPr>
          <w:rFonts w:cstheme="minorHAnsi"/>
          <w:i w:val="0"/>
          <w:sz w:val="22"/>
          <w:szCs w:val="22"/>
        </w:rPr>
      </w:pPr>
      <w:r w:rsidRPr="002F3BB0">
        <w:rPr>
          <w:rFonts w:cstheme="minorHAnsi"/>
          <w:i w:val="0"/>
          <w:sz w:val="22"/>
          <w:szCs w:val="22"/>
        </w:rPr>
        <w:t>ISSN 1441-5747 (print)</w:t>
      </w:r>
      <w:r w:rsidR="00A5321B" w:rsidRPr="002F3BB0">
        <w:rPr>
          <w:rFonts w:cstheme="minorHAnsi"/>
          <w:i w:val="0"/>
          <w:sz w:val="22"/>
          <w:szCs w:val="22"/>
        </w:rPr>
        <w:tab/>
      </w:r>
      <w:r w:rsidR="00A5321B" w:rsidRPr="002F3BB0">
        <w:rPr>
          <w:rFonts w:cstheme="minorHAnsi"/>
          <w:i w:val="0"/>
          <w:sz w:val="22"/>
          <w:szCs w:val="22"/>
        </w:rPr>
        <w:tab/>
      </w:r>
      <w:r w:rsidRPr="002F3BB0">
        <w:rPr>
          <w:rFonts w:cstheme="minorHAnsi"/>
          <w:i w:val="0"/>
          <w:sz w:val="22"/>
          <w:szCs w:val="22"/>
        </w:rPr>
        <w:t>ISSN 1837-0640 (online)</w:t>
      </w:r>
    </w:p>
    <w:p w:rsidR="008913B5" w:rsidRPr="002F3BB0" w:rsidRDefault="008913B5" w:rsidP="0031701D">
      <w:pPr>
        <w:spacing w:line="240" w:lineRule="auto"/>
        <w:rPr>
          <w:rFonts w:cstheme="minorHAnsi"/>
          <w:i w:val="0"/>
          <w:sz w:val="22"/>
          <w:szCs w:val="22"/>
        </w:rPr>
      </w:pPr>
      <w:r w:rsidRPr="002F3BB0">
        <w:rPr>
          <w:rFonts w:cstheme="minorHAnsi"/>
          <w:i w:val="0"/>
          <w:sz w:val="22"/>
          <w:szCs w:val="22"/>
        </w:rPr>
        <w:t>Copyright protects this material. The Anti-Discrimination Commission Queensland has no objection to this material being reproduced but asserts its right to be recognised as the author of its material and the right to have its material remain unaltered. Printed copies of this re</w:t>
      </w:r>
      <w:r w:rsidR="00E55356">
        <w:rPr>
          <w:rFonts w:cstheme="minorHAnsi"/>
          <w:i w:val="0"/>
          <w:sz w:val="22"/>
          <w:szCs w:val="22"/>
        </w:rPr>
        <w:t>port are available through the C</w:t>
      </w:r>
      <w:r w:rsidRPr="002F3BB0">
        <w:rPr>
          <w:rFonts w:cstheme="minorHAnsi"/>
          <w:i w:val="0"/>
          <w:sz w:val="22"/>
          <w:szCs w:val="22"/>
        </w:rPr>
        <w:t xml:space="preserve">ommission’s head office. </w:t>
      </w:r>
    </w:p>
    <w:p w:rsidR="00E86F07" w:rsidRPr="002F3BB0" w:rsidRDefault="00E86F07" w:rsidP="0031701D">
      <w:pPr>
        <w:spacing w:line="240" w:lineRule="auto"/>
        <w:rPr>
          <w:rFonts w:cstheme="minorHAnsi"/>
          <w:i w:val="0"/>
          <w:sz w:val="22"/>
          <w:szCs w:val="22"/>
        </w:rPr>
      </w:pPr>
      <w:r w:rsidRPr="002F3BB0">
        <w:rPr>
          <w:rFonts w:cstheme="minorHAnsi"/>
          <w:i w:val="0"/>
          <w:sz w:val="22"/>
          <w:szCs w:val="22"/>
        </w:rPr>
        <w:t>This annual report is licensed by the State of Queensland (Anti-Discrimination Commission Queensland) under a Creative Commons Attribution (CC BY) 3.0 Australia licence.</w:t>
      </w:r>
    </w:p>
    <w:p w:rsidR="00A5321B" w:rsidRPr="00C302C5" w:rsidRDefault="00A5321B" w:rsidP="00A5321B">
      <w:pPr>
        <w:rPr>
          <w:rStyle w:val="Hyperlink"/>
          <w:rFonts w:cstheme="minorHAnsi"/>
          <w:i w:val="0"/>
          <w:sz w:val="22"/>
          <w:szCs w:val="22"/>
        </w:rPr>
      </w:pPr>
      <w:r w:rsidRPr="002F3BB0">
        <w:rPr>
          <w:rFonts w:cstheme="minorHAnsi"/>
          <w:i w:val="0"/>
          <w:noProof/>
          <w:sz w:val="22"/>
          <w:szCs w:val="22"/>
          <w:lang w:eastAsia="en-AU"/>
        </w:rPr>
        <w:drawing>
          <wp:inline distT="0" distB="0" distL="0" distR="0" wp14:anchorId="3B77B947" wp14:editId="7B0BA657">
            <wp:extent cx="828675" cy="285750"/>
            <wp:effectExtent l="0" t="0" r="9525" b="0"/>
            <wp:docPr id="2" name="Picture 2" descr="Creative Comm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r w:rsidR="00C302C5">
        <w:rPr>
          <w:rFonts w:cstheme="minorHAnsi"/>
          <w:i w:val="0"/>
          <w:color w:val="000000"/>
          <w:sz w:val="22"/>
          <w:szCs w:val="22"/>
        </w:rPr>
        <w:fldChar w:fldCharType="begin"/>
      </w:r>
      <w:r w:rsidR="00C302C5">
        <w:rPr>
          <w:rFonts w:cstheme="minorHAnsi"/>
          <w:i w:val="0"/>
          <w:color w:val="000000"/>
          <w:sz w:val="22"/>
          <w:szCs w:val="22"/>
        </w:rPr>
        <w:instrText xml:space="preserve"> HYPERLINK "http://creativecommons.org/licenses/by/3.0/au/deed.en" </w:instrText>
      </w:r>
      <w:r w:rsidR="00C302C5">
        <w:rPr>
          <w:rFonts w:cstheme="minorHAnsi"/>
          <w:i w:val="0"/>
          <w:color w:val="000000"/>
          <w:sz w:val="22"/>
          <w:szCs w:val="22"/>
        </w:rPr>
        <w:fldChar w:fldCharType="separate"/>
      </w:r>
      <w:r w:rsidR="00797077" w:rsidRPr="00C302C5">
        <w:rPr>
          <w:rStyle w:val="Hyperlink"/>
          <w:rFonts w:cstheme="minorHAnsi"/>
          <w:i w:val="0"/>
          <w:sz w:val="22"/>
          <w:szCs w:val="22"/>
        </w:rPr>
        <w:t>To view a copy of this licence, visit</w:t>
      </w:r>
      <w:r w:rsidR="007B6AED" w:rsidRPr="00C302C5">
        <w:rPr>
          <w:rStyle w:val="Hyperlink"/>
          <w:rFonts w:cstheme="minorHAnsi"/>
          <w:i w:val="0"/>
          <w:sz w:val="22"/>
          <w:szCs w:val="22"/>
        </w:rPr>
        <w:t>:</w:t>
      </w:r>
      <w:r w:rsidR="00797077" w:rsidRPr="00C302C5">
        <w:rPr>
          <w:rStyle w:val="Hyperlink"/>
          <w:rFonts w:cstheme="minorHAnsi"/>
          <w:i w:val="0"/>
          <w:sz w:val="22"/>
          <w:szCs w:val="22"/>
        </w:rPr>
        <w:t xml:space="preserve"> </w:t>
      </w:r>
      <w:r w:rsidRPr="00C302C5">
        <w:rPr>
          <w:rStyle w:val="Hyperlink"/>
          <w:rFonts w:cstheme="minorHAnsi"/>
          <w:i w:val="0"/>
          <w:sz w:val="22"/>
          <w:szCs w:val="22"/>
        </w:rPr>
        <w:t>http://creativecommons.org/licenses/by/3.0/au/deed.en</w:t>
      </w:r>
    </w:p>
    <w:p w:rsidR="00FE0AE0" w:rsidRPr="00C302C5" w:rsidRDefault="00C302C5" w:rsidP="0031701D">
      <w:pPr>
        <w:spacing w:line="240" w:lineRule="auto"/>
        <w:rPr>
          <w:rStyle w:val="Hyperlink"/>
          <w:rFonts w:cstheme="minorHAnsi"/>
          <w:i w:val="0"/>
          <w:sz w:val="22"/>
          <w:szCs w:val="22"/>
        </w:rPr>
      </w:pPr>
      <w:r>
        <w:rPr>
          <w:rFonts w:cstheme="minorHAnsi"/>
          <w:i w:val="0"/>
          <w:color w:val="000000"/>
          <w:sz w:val="22"/>
          <w:szCs w:val="22"/>
        </w:rPr>
        <w:fldChar w:fldCharType="end"/>
      </w:r>
      <w:r w:rsidR="008913B5" w:rsidRPr="002F3BB0">
        <w:rPr>
          <w:rFonts w:cstheme="minorHAnsi"/>
          <w:i w:val="0"/>
          <w:sz w:val="22"/>
          <w:szCs w:val="22"/>
        </w:rPr>
        <w:t xml:space="preserve">This publication can be found in electronic format on the </w:t>
      </w:r>
      <w:r>
        <w:rPr>
          <w:rFonts w:cstheme="minorHAnsi"/>
          <w:i w:val="0"/>
          <w:sz w:val="22"/>
          <w:szCs w:val="22"/>
        </w:rPr>
        <w:fldChar w:fldCharType="begin"/>
      </w:r>
      <w:r>
        <w:rPr>
          <w:rFonts w:cstheme="minorHAnsi"/>
          <w:i w:val="0"/>
          <w:sz w:val="22"/>
          <w:szCs w:val="22"/>
        </w:rPr>
        <w:instrText xml:space="preserve"> HYPERLINK "http://www.adcq.qld.gov.au/" </w:instrText>
      </w:r>
      <w:r>
        <w:rPr>
          <w:rFonts w:cstheme="minorHAnsi"/>
          <w:i w:val="0"/>
          <w:sz w:val="22"/>
          <w:szCs w:val="22"/>
        </w:rPr>
        <w:fldChar w:fldCharType="separate"/>
      </w:r>
      <w:r w:rsidR="008913B5" w:rsidRPr="00C302C5">
        <w:rPr>
          <w:rStyle w:val="Hyperlink"/>
          <w:rFonts w:cstheme="minorHAnsi"/>
          <w:i w:val="0"/>
          <w:sz w:val="22"/>
          <w:szCs w:val="22"/>
        </w:rPr>
        <w:t>Anti-Discrimination Commission Queensland’s website at: www.adcq.qld.gov.au.</w:t>
      </w:r>
    </w:p>
    <w:p w:rsidR="007F3CF5" w:rsidRDefault="00C302C5">
      <w:pPr>
        <w:rPr>
          <w:rFonts w:ascii="Arial" w:eastAsiaTheme="minorHAnsi" w:hAnsi="Arial" w:cstheme="minorHAnsi"/>
          <w:i w:val="0"/>
          <w:noProof/>
          <w:sz w:val="24"/>
          <w:highlight w:val="yellow"/>
          <w:shd w:val="clear" w:color="auto" w:fill="EFEFEF" w:themeFill="accent2" w:themeFillTint="33"/>
          <w:lang w:eastAsia="en-AU"/>
        </w:rPr>
      </w:pPr>
      <w:r>
        <w:rPr>
          <w:rFonts w:cstheme="minorHAnsi"/>
          <w:i w:val="0"/>
          <w:sz w:val="22"/>
          <w:szCs w:val="22"/>
        </w:rPr>
        <w:fldChar w:fldCharType="end"/>
      </w:r>
      <w:r w:rsidR="007F3CF5">
        <w:rPr>
          <w:rFonts w:eastAsiaTheme="minorHAnsi"/>
          <w:highlight w:val="yellow"/>
          <w:lang w:eastAsia="en-AU"/>
        </w:rPr>
        <w:br w:type="page"/>
      </w:r>
    </w:p>
    <w:p w:rsidR="00606CD9" w:rsidRPr="00D861E7" w:rsidRDefault="00606CD9" w:rsidP="00F21666">
      <w:pPr>
        <w:pStyle w:val="TOC1"/>
        <w:rPr>
          <w:rFonts w:eastAsiaTheme="minorHAnsi"/>
          <w:b/>
          <w:lang w:eastAsia="en-AU"/>
        </w:rPr>
      </w:pPr>
      <w:r w:rsidRPr="00D861E7">
        <w:rPr>
          <w:rFonts w:eastAsiaTheme="minorHAnsi"/>
          <w:b/>
          <w:lang w:eastAsia="en-AU"/>
        </w:rPr>
        <w:lastRenderedPageBreak/>
        <w:t>Table of Contents</w:t>
      </w:r>
    </w:p>
    <w:p w:rsidR="00606CD9" w:rsidRPr="002F3BB0" w:rsidRDefault="00606CD9" w:rsidP="00F21666">
      <w:pPr>
        <w:pStyle w:val="TOC1"/>
        <w:rPr>
          <w:rFonts w:eastAsiaTheme="minorHAnsi"/>
          <w:highlight w:val="yellow"/>
          <w:lang w:eastAsia="en-AU"/>
        </w:rPr>
      </w:pPr>
    </w:p>
    <w:p w:rsidR="00172EC6" w:rsidRDefault="00855288">
      <w:pPr>
        <w:pStyle w:val="TOC1"/>
        <w:rPr>
          <w:rFonts w:asciiTheme="minorHAnsi" w:hAnsiTheme="minorHAnsi" w:cstheme="minorBidi"/>
          <w:iCs w:val="0"/>
          <w:sz w:val="22"/>
          <w:szCs w:val="22"/>
          <w:shd w:val="clear" w:color="auto" w:fill="auto"/>
          <w:lang w:eastAsia="en-AU"/>
        </w:rPr>
      </w:pPr>
      <w:r w:rsidRPr="002F3BB0">
        <w:rPr>
          <w:rFonts w:asciiTheme="minorHAnsi" w:eastAsiaTheme="minorHAnsi" w:hAnsiTheme="minorHAnsi"/>
          <w:highlight w:val="yellow"/>
          <w:lang w:eastAsia="en-AU"/>
        </w:rPr>
        <w:fldChar w:fldCharType="begin"/>
      </w:r>
      <w:r w:rsidRPr="002F3BB0">
        <w:rPr>
          <w:rFonts w:asciiTheme="minorHAnsi" w:hAnsiTheme="minorHAnsi"/>
          <w:highlight w:val="yellow"/>
          <w:lang w:eastAsia="en-AU"/>
        </w:rPr>
        <w:instrText xml:space="preserve"> TOC \o "1-3" \h \z \u </w:instrText>
      </w:r>
      <w:r w:rsidRPr="002F3BB0">
        <w:rPr>
          <w:rFonts w:asciiTheme="minorHAnsi" w:eastAsiaTheme="minorHAnsi" w:hAnsiTheme="minorHAnsi"/>
          <w:highlight w:val="yellow"/>
          <w:lang w:eastAsia="en-AU"/>
        </w:rPr>
        <w:fldChar w:fldCharType="separate"/>
      </w:r>
      <w:hyperlink w:anchor="_Toc397345674" w:history="1">
        <w:r w:rsidR="00172EC6" w:rsidRPr="00BE6D7E">
          <w:rPr>
            <w:rStyle w:val="Hyperlink"/>
            <w:rFonts w:eastAsia="Times New Roman"/>
            <w:lang w:eastAsia="en-AU"/>
          </w:rPr>
          <w:t>Letter of compliance</w:t>
        </w:r>
        <w:r w:rsidR="00172EC6">
          <w:rPr>
            <w:webHidden/>
          </w:rPr>
          <w:tab/>
        </w:r>
        <w:r w:rsidR="00172EC6">
          <w:rPr>
            <w:webHidden/>
          </w:rPr>
          <w:fldChar w:fldCharType="begin"/>
        </w:r>
        <w:r w:rsidR="00172EC6">
          <w:rPr>
            <w:webHidden/>
          </w:rPr>
          <w:instrText xml:space="preserve"> PAGEREF _Toc397345674 \h </w:instrText>
        </w:r>
        <w:r w:rsidR="00172EC6">
          <w:rPr>
            <w:webHidden/>
          </w:rPr>
        </w:r>
        <w:r w:rsidR="00172EC6">
          <w:rPr>
            <w:webHidden/>
          </w:rPr>
          <w:fldChar w:fldCharType="separate"/>
        </w:r>
        <w:r w:rsidR="00860326">
          <w:rPr>
            <w:webHidden/>
          </w:rPr>
          <w:t>3</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75" w:history="1">
        <w:r w:rsidR="00172EC6" w:rsidRPr="00BE6D7E">
          <w:rPr>
            <w:rStyle w:val="Hyperlink"/>
            <w:rFonts w:eastAsia="Times New Roman"/>
            <w:lang w:eastAsia="en-AU"/>
          </w:rPr>
          <w:t>Commissioner’s foreword</w:t>
        </w:r>
        <w:r w:rsidR="00172EC6">
          <w:rPr>
            <w:webHidden/>
          </w:rPr>
          <w:tab/>
        </w:r>
        <w:r w:rsidR="00172EC6">
          <w:rPr>
            <w:webHidden/>
          </w:rPr>
          <w:fldChar w:fldCharType="begin"/>
        </w:r>
        <w:r w:rsidR="00172EC6">
          <w:rPr>
            <w:webHidden/>
          </w:rPr>
          <w:instrText xml:space="preserve"> PAGEREF _Toc397345675 \h </w:instrText>
        </w:r>
        <w:r w:rsidR="00172EC6">
          <w:rPr>
            <w:webHidden/>
          </w:rPr>
        </w:r>
        <w:r w:rsidR="00172EC6">
          <w:rPr>
            <w:webHidden/>
          </w:rPr>
          <w:fldChar w:fldCharType="separate"/>
        </w:r>
        <w:r w:rsidR="00860326">
          <w:rPr>
            <w:webHidden/>
          </w:rPr>
          <w:t>4</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76" w:history="1">
        <w:r w:rsidR="00172EC6" w:rsidRPr="00BE6D7E">
          <w:rPr>
            <w:rStyle w:val="Hyperlink"/>
          </w:rPr>
          <w:t>Highlights of 2013-14</w:t>
        </w:r>
        <w:r w:rsidR="00172EC6">
          <w:rPr>
            <w:webHidden/>
          </w:rPr>
          <w:tab/>
        </w:r>
        <w:r w:rsidR="00172EC6">
          <w:rPr>
            <w:webHidden/>
          </w:rPr>
          <w:fldChar w:fldCharType="begin"/>
        </w:r>
        <w:r w:rsidR="00172EC6">
          <w:rPr>
            <w:webHidden/>
          </w:rPr>
          <w:instrText xml:space="preserve"> PAGEREF _Toc397345676 \h </w:instrText>
        </w:r>
        <w:r w:rsidR="00172EC6">
          <w:rPr>
            <w:webHidden/>
          </w:rPr>
        </w:r>
        <w:r w:rsidR="00172EC6">
          <w:rPr>
            <w:webHidden/>
          </w:rPr>
          <w:fldChar w:fldCharType="separate"/>
        </w:r>
        <w:r w:rsidR="00860326">
          <w:rPr>
            <w:webHidden/>
          </w:rPr>
          <w:t>5</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77" w:history="1">
        <w:r w:rsidR="00172EC6" w:rsidRPr="00BE6D7E">
          <w:rPr>
            <w:rStyle w:val="Hyperlink"/>
            <w:rFonts w:eastAsia="Times New Roman"/>
            <w:lang w:eastAsia="en-AU"/>
          </w:rPr>
          <w:t>About the Anti-Discrimination Commission Queensland</w:t>
        </w:r>
        <w:r w:rsidR="00172EC6">
          <w:rPr>
            <w:webHidden/>
          </w:rPr>
          <w:tab/>
        </w:r>
        <w:r w:rsidR="00172EC6">
          <w:rPr>
            <w:webHidden/>
          </w:rPr>
          <w:fldChar w:fldCharType="begin"/>
        </w:r>
        <w:r w:rsidR="00172EC6">
          <w:rPr>
            <w:webHidden/>
          </w:rPr>
          <w:instrText xml:space="preserve"> PAGEREF _Toc397345677 \h </w:instrText>
        </w:r>
        <w:r w:rsidR="00172EC6">
          <w:rPr>
            <w:webHidden/>
          </w:rPr>
        </w:r>
        <w:r w:rsidR="00172EC6">
          <w:rPr>
            <w:webHidden/>
          </w:rPr>
          <w:fldChar w:fldCharType="separate"/>
        </w:r>
        <w:r w:rsidR="00860326">
          <w:rPr>
            <w:webHidden/>
          </w:rPr>
          <w:t>6</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78" w:history="1">
        <w:r w:rsidR="00172EC6" w:rsidRPr="00BE6D7E">
          <w:rPr>
            <w:rStyle w:val="Hyperlink"/>
            <w:rFonts w:eastAsia="Times New Roman"/>
            <w:lang w:eastAsia="en-AU"/>
          </w:rPr>
          <w:t>Performance Statement 2013-14</w:t>
        </w:r>
        <w:r w:rsidR="00172EC6">
          <w:rPr>
            <w:webHidden/>
          </w:rPr>
          <w:tab/>
        </w:r>
        <w:r w:rsidR="00172EC6">
          <w:rPr>
            <w:webHidden/>
          </w:rPr>
          <w:fldChar w:fldCharType="begin"/>
        </w:r>
        <w:r w:rsidR="00172EC6">
          <w:rPr>
            <w:webHidden/>
          </w:rPr>
          <w:instrText xml:space="preserve"> PAGEREF _Toc397345678 \h </w:instrText>
        </w:r>
        <w:r w:rsidR="00172EC6">
          <w:rPr>
            <w:webHidden/>
          </w:rPr>
        </w:r>
        <w:r w:rsidR="00172EC6">
          <w:rPr>
            <w:webHidden/>
          </w:rPr>
          <w:fldChar w:fldCharType="separate"/>
        </w:r>
        <w:r w:rsidR="00860326">
          <w:rPr>
            <w:webHidden/>
          </w:rPr>
          <w:t>9</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79" w:history="1">
        <w:r w:rsidR="00172EC6" w:rsidRPr="00BE6D7E">
          <w:rPr>
            <w:rStyle w:val="Hyperlink"/>
            <w:rFonts w:eastAsia="Times New Roman"/>
            <w:spacing w:val="22"/>
            <w:lang w:eastAsia="en-AU"/>
          </w:rPr>
          <w:t>Community Engagement and Education</w:t>
        </w:r>
        <w:r w:rsidR="00172EC6">
          <w:rPr>
            <w:webHidden/>
          </w:rPr>
          <w:tab/>
        </w:r>
        <w:r w:rsidR="00172EC6">
          <w:rPr>
            <w:webHidden/>
          </w:rPr>
          <w:fldChar w:fldCharType="begin"/>
        </w:r>
        <w:r w:rsidR="00172EC6">
          <w:rPr>
            <w:webHidden/>
          </w:rPr>
          <w:instrText xml:space="preserve"> PAGEREF _Toc397345679 \h </w:instrText>
        </w:r>
        <w:r w:rsidR="00172EC6">
          <w:rPr>
            <w:webHidden/>
          </w:rPr>
        </w:r>
        <w:r w:rsidR="00172EC6">
          <w:rPr>
            <w:webHidden/>
          </w:rPr>
          <w:fldChar w:fldCharType="separate"/>
        </w:r>
        <w:r w:rsidR="00860326">
          <w:rPr>
            <w:webHidden/>
          </w:rPr>
          <w:t>10</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80" w:history="1">
        <w:r w:rsidR="00172EC6" w:rsidRPr="00BE6D7E">
          <w:rPr>
            <w:rStyle w:val="Hyperlink"/>
            <w:rFonts w:eastAsia="Times New Roman"/>
            <w:spacing w:val="22"/>
            <w:lang w:eastAsia="en-AU"/>
          </w:rPr>
          <w:t>Aboriginal and Torres Strait Islander unit</w:t>
        </w:r>
        <w:r w:rsidR="00172EC6">
          <w:rPr>
            <w:webHidden/>
          </w:rPr>
          <w:tab/>
        </w:r>
        <w:r w:rsidR="00172EC6">
          <w:rPr>
            <w:webHidden/>
          </w:rPr>
          <w:fldChar w:fldCharType="begin"/>
        </w:r>
        <w:r w:rsidR="00172EC6">
          <w:rPr>
            <w:webHidden/>
          </w:rPr>
          <w:instrText xml:space="preserve"> PAGEREF _Toc397345680 \h </w:instrText>
        </w:r>
        <w:r w:rsidR="00172EC6">
          <w:rPr>
            <w:webHidden/>
          </w:rPr>
        </w:r>
        <w:r w:rsidR="00172EC6">
          <w:rPr>
            <w:webHidden/>
          </w:rPr>
          <w:fldChar w:fldCharType="separate"/>
        </w:r>
        <w:r w:rsidR="00860326">
          <w:rPr>
            <w:webHidden/>
          </w:rPr>
          <w:t>22</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81" w:history="1">
        <w:r w:rsidR="00172EC6" w:rsidRPr="00BE6D7E">
          <w:rPr>
            <w:rStyle w:val="Hyperlink"/>
          </w:rPr>
          <w:t>Complaint management</w:t>
        </w:r>
        <w:r w:rsidR="00172EC6">
          <w:rPr>
            <w:webHidden/>
          </w:rPr>
          <w:tab/>
        </w:r>
        <w:r w:rsidR="00172EC6">
          <w:rPr>
            <w:webHidden/>
          </w:rPr>
          <w:fldChar w:fldCharType="begin"/>
        </w:r>
        <w:r w:rsidR="00172EC6">
          <w:rPr>
            <w:webHidden/>
          </w:rPr>
          <w:instrText xml:space="preserve"> PAGEREF _Toc397345681 \h </w:instrText>
        </w:r>
        <w:r w:rsidR="00172EC6">
          <w:rPr>
            <w:webHidden/>
          </w:rPr>
        </w:r>
        <w:r w:rsidR="00172EC6">
          <w:rPr>
            <w:webHidden/>
          </w:rPr>
          <w:fldChar w:fldCharType="separate"/>
        </w:r>
        <w:r w:rsidR="00860326">
          <w:rPr>
            <w:webHidden/>
          </w:rPr>
          <w:t>23</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82" w:history="1">
        <w:r w:rsidR="00172EC6" w:rsidRPr="00BE6D7E">
          <w:rPr>
            <w:rStyle w:val="Hyperlink"/>
            <w:rFonts w:eastAsia="Times New Roman"/>
            <w:lang w:eastAsia="en-AU"/>
          </w:rPr>
          <w:t>Influencing government policy and legislation</w:t>
        </w:r>
        <w:r w:rsidR="00172EC6">
          <w:rPr>
            <w:webHidden/>
          </w:rPr>
          <w:tab/>
        </w:r>
        <w:r w:rsidR="00172EC6">
          <w:rPr>
            <w:webHidden/>
          </w:rPr>
          <w:fldChar w:fldCharType="begin"/>
        </w:r>
        <w:r w:rsidR="00172EC6">
          <w:rPr>
            <w:webHidden/>
          </w:rPr>
          <w:instrText xml:space="preserve"> PAGEREF _Toc397345682 \h </w:instrText>
        </w:r>
        <w:r w:rsidR="00172EC6">
          <w:rPr>
            <w:webHidden/>
          </w:rPr>
        </w:r>
        <w:r w:rsidR="00172EC6">
          <w:rPr>
            <w:webHidden/>
          </w:rPr>
          <w:fldChar w:fldCharType="separate"/>
        </w:r>
        <w:r w:rsidR="00860326">
          <w:rPr>
            <w:webHidden/>
          </w:rPr>
          <w:t>32</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83" w:history="1">
        <w:r w:rsidR="00172EC6" w:rsidRPr="00BE6D7E">
          <w:rPr>
            <w:rStyle w:val="Hyperlink"/>
          </w:rPr>
          <w:t>Legal information</w:t>
        </w:r>
        <w:r w:rsidR="00172EC6">
          <w:rPr>
            <w:webHidden/>
          </w:rPr>
          <w:tab/>
        </w:r>
        <w:r w:rsidR="00172EC6">
          <w:rPr>
            <w:webHidden/>
          </w:rPr>
          <w:fldChar w:fldCharType="begin"/>
        </w:r>
        <w:r w:rsidR="00172EC6">
          <w:rPr>
            <w:webHidden/>
          </w:rPr>
          <w:instrText xml:space="preserve"> PAGEREF _Toc397345683 \h </w:instrText>
        </w:r>
        <w:r w:rsidR="00172EC6">
          <w:rPr>
            <w:webHidden/>
          </w:rPr>
        </w:r>
        <w:r w:rsidR="00172EC6">
          <w:rPr>
            <w:webHidden/>
          </w:rPr>
          <w:fldChar w:fldCharType="separate"/>
        </w:r>
        <w:r w:rsidR="00860326">
          <w:rPr>
            <w:webHidden/>
          </w:rPr>
          <w:t>34</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84" w:history="1">
        <w:r w:rsidR="00172EC6" w:rsidRPr="00BE6D7E">
          <w:rPr>
            <w:rStyle w:val="Hyperlink"/>
            <w:rFonts w:eastAsia="Times New Roman"/>
            <w:lang w:eastAsia="en-AU"/>
          </w:rPr>
          <w:t>Corporate governance</w:t>
        </w:r>
        <w:r w:rsidR="00172EC6">
          <w:rPr>
            <w:webHidden/>
          </w:rPr>
          <w:tab/>
        </w:r>
        <w:r w:rsidR="00172EC6">
          <w:rPr>
            <w:webHidden/>
          </w:rPr>
          <w:fldChar w:fldCharType="begin"/>
        </w:r>
        <w:r w:rsidR="00172EC6">
          <w:rPr>
            <w:webHidden/>
          </w:rPr>
          <w:instrText xml:space="preserve"> PAGEREF _Toc397345684 \h </w:instrText>
        </w:r>
        <w:r w:rsidR="00172EC6">
          <w:rPr>
            <w:webHidden/>
          </w:rPr>
        </w:r>
        <w:r w:rsidR="00172EC6">
          <w:rPr>
            <w:webHidden/>
          </w:rPr>
          <w:fldChar w:fldCharType="separate"/>
        </w:r>
        <w:r w:rsidR="00860326">
          <w:rPr>
            <w:webHidden/>
          </w:rPr>
          <w:t>38</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85" w:history="1">
        <w:r w:rsidR="00172EC6" w:rsidRPr="00BE6D7E">
          <w:rPr>
            <w:rStyle w:val="Hyperlink"/>
            <w:rFonts w:eastAsia="Times New Roman"/>
            <w:lang w:eastAsia="en-AU"/>
          </w:rPr>
          <w:t>Summary of financial information</w:t>
        </w:r>
        <w:r w:rsidR="00172EC6">
          <w:rPr>
            <w:webHidden/>
          </w:rPr>
          <w:tab/>
        </w:r>
        <w:r w:rsidR="00172EC6">
          <w:rPr>
            <w:webHidden/>
          </w:rPr>
          <w:fldChar w:fldCharType="begin"/>
        </w:r>
        <w:r w:rsidR="00172EC6">
          <w:rPr>
            <w:webHidden/>
          </w:rPr>
          <w:instrText xml:space="preserve"> PAGEREF _Toc397345685 \h </w:instrText>
        </w:r>
        <w:r w:rsidR="00172EC6">
          <w:rPr>
            <w:webHidden/>
          </w:rPr>
        </w:r>
        <w:r w:rsidR="00172EC6">
          <w:rPr>
            <w:webHidden/>
          </w:rPr>
          <w:fldChar w:fldCharType="separate"/>
        </w:r>
        <w:r w:rsidR="00860326">
          <w:rPr>
            <w:webHidden/>
          </w:rPr>
          <w:t>43</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86" w:history="1">
        <w:r w:rsidR="00172EC6" w:rsidRPr="00BE6D7E">
          <w:rPr>
            <w:rStyle w:val="Hyperlink"/>
          </w:rPr>
          <w:t>Financial statements</w:t>
        </w:r>
        <w:r w:rsidR="00172EC6">
          <w:rPr>
            <w:webHidden/>
          </w:rPr>
          <w:tab/>
        </w:r>
        <w:r w:rsidR="00172EC6">
          <w:rPr>
            <w:webHidden/>
          </w:rPr>
          <w:fldChar w:fldCharType="begin"/>
        </w:r>
        <w:r w:rsidR="00172EC6">
          <w:rPr>
            <w:webHidden/>
          </w:rPr>
          <w:instrText xml:space="preserve"> PAGEREF _Toc397345686 \h </w:instrText>
        </w:r>
        <w:r w:rsidR="00172EC6">
          <w:rPr>
            <w:webHidden/>
          </w:rPr>
        </w:r>
        <w:r w:rsidR="00172EC6">
          <w:rPr>
            <w:webHidden/>
          </w:rPr>
          <w:fldChar w:fldCharType="separate"/>
        </w:r>
        <w:r w:rsidR="00860326">
          <w:rPr>
            <w:webHidden/>
          </w:rPr>
          <w:t>47</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87" w:history="1">
        <w:r w:rsidR="00172EC6" w:rsidRPr="00BE6D7E">
          <w:rPr>
            <w:rStyle w:val="Hyperlink"/>
            <w:rFonts w:eastAsia="Times New Roman"/>
            <w:lang w:eastAsia="en-AU"/>
          </w:rPr>
          <w:t>Appendix A – Glossary of terms</w:t>
        </w:r>
        <w:r w:rsidR="00172EC6">
          <w:rPr>
            <w:webHidden/>
          </w:rPr>
          <w:tab/>
        </w:r>
        <w:r w:rsidR="00172EC6">
          <w:rPr>
            <w:webHidden/>
          </w:rPr>
          <w:fldChar w:fldCharType="begin"/>
        </w:r>
        <w:r w:rsidR="00172EC6">
          <w:rPr>
            <w:webHidden/>
          </w:rPr>
          <w:instrText xml:space="preserve"> PAGEREF _Toc397345687 \h </w:instrText>
        </w:r>
        <w:r w:rsidR="00172EC6">
          <w:rPr>
            <w:webHidden/>
          </w:rPr>
        </w:r>
        <w:r w:rsidR="00172EC6">
          <w:rPr>
            <w:webHidden/>
          </w:rPr>
          <w:fldChar w:fldCharType="separate"/>
        </w:r>
        <w:r w:rsidR="00860326">
          <w:rPr>
            <w:webHidden/>
          </w:rPr>
          <w:t>48</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88" w:history="1">
        <w:r w:rsidR="00172EC6" w:rsidRPr="00BE6D7E">
          <w:rPr>
            <w:rStyle w:val="Hyperlink"/>
            <w:rFonts w:eastAsia="Times New Roman"/>
            <w:spacing w:val="22"/>
            <w:lang w:eastAsia="en-AU"/>
          </w:rPr>
          <w:t>Appendix B – Compliance checklist</w:t>
        </w:r>
        <w:r w:rsidR="00172EC6">
          <w:rPr>
            <w:webHidden/>
          </w:rPr>
          <w:tab/>
        </w:r>
        <w:r w:rsidR="00172EC6">
          <w:rPr>
            <w:webHidden/>
          </w:rPr>
          <w:fldChar w:fldCharType="begin"/>
        </w:r>
        <w:r w:rsidR="00172EC6">
          <w:rPr>
            <w:webHidden/>
          </w:rPr>
          <w:instrText xml:space="preserve"> PAGEREF _Toc397345688 \h </w:instrText>
        </w:r>
        <w:r w:rsidR="00172EC6">
          <w:rPr>
            <w:webHidden/>
          </w:rPr>
        </w:r>
        <w:r w:rsidR="00172EC6">
          <w:rPr>
            <w:webHidden/>
          </w:rPr>
          <w:fldChar w:fldCharType="separate"/>
        </w:r>
        <w:r w:rsidR="00860326">
          <w:rPr>
            <w:webHidden/>
          </w:rPr>
          <w:t>49</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89" w:history="1">
        <w:r w:rsidR="00172EC6" w:rsidRPr="00BE6D7E">
          <w:rPr>
            <w:rStyle w:val="Hyperlink"/>
            <w:rFonts w:eastAsia="Times New Roman"/>
            <w:lang w:eastAsia="en-AU"/>
          </w:rPr>
          <w:t>Appendix C – Publications</w:t>
        </w:r>
        <w:r w:rsidR="00172EC6">
          <w:rPr>
            <w:webHidden/>
          </w:rPr>
          <w:tab/>
        </w:r>
        <w:r w:rsidR="00172EC6">
          <w:rPr>
            <w:webHidden/>
          </w:rPr>
          <w:fldChar w:fldCharType="begin"/>
        </w:r>
        <w:r w:rsidR="00172EC6">
          <w:rPr>
            <w:webHidden/>
          </w:rPr>
          <w:instrText xml:space="preserve"> PAGEREF _Toc397345689 \h </w:instrText>
        </w:r>
        <w:r w:rsidR="00172EC6">
          <w:rPr>
            <w:webHidden/>
          </w:rPr>
        </w:r>
        <w:r w:rsidR="00172EC6">
          <w:rPr>
            <w:webHidden/>
          </w:rPr>
          <w:fldChar w:fldCharType="separate"/>
        </w:r>
        <w:r w:rsidR="00860326">
          <w:rPr>
            <w:webHidden/>
          </w:rPr>
          <w:t>51</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90" w:history="1">
        <w:r w:rsidR="00172EC6" w:rsidRPr="00BE6D7E">
          <w:rPr>
            <w:rStyle w:val="Hyperlink"/>
            <w:rFonts w:eastAsia="Times New Roman"/>
            <w:spacing w:val="22"/>
            <w:lang w:eastAsia="en-AU"/>
          </w:rPr>
          <w:t>Appendix D – Complaint handling process</w:t>
        </w:r>
        <w:r w:rsidR="00172EC6">
          <w:rPr>
            <w:webHidden/>
          </w:rPr>
          <w:tab/>
        </w:r>
        <w:r w:rsidR="00172EC6">
          <w:rPr>
            <w:webHidden/>
          </w:rPr>
          <w:fldChar w:fldCharType="begin"/>
        </w:r>
        <w:r w:rsidR="00172EC6">
          <w:rPr>
            <w:webHidden/>
          </w:rPr>
          <w:instrText xml:space="preserve"> PAGEREF _Toc397345690 \h </w:instrText>
        </w:r>
        <w:r w:rsidR="00172EC6">
          <w:rPr>
            <w:webHidden/>
          </w:rPr>
        </w:r>
        <w:r w:rsidR="00172EC6">
          <w:rPr>
            <w:webHidden/>
          </w:rPr>
          <w:fldChar w:fldCharType="separate"/>
        </w:r>
        <w:r w:rsidR="00860326">
          <w:rPr>
            <w:webHidden/>
          </w:rPr>
          <w:t>49</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91" w:history="1">
        <w:r w:rsidR="00172EC6" w:rsidRPr="00BE6D7E">
          <w:rPr>
            <w:rStyle w:val="Hyperlink"/>
            <w:rFonts w:eastAsia="Times New Roman"/>
            <w:lang w:eastAsia="en-AU"/>
          </w:rPr>
          <w:t>Appendix E – Organisational structure</w:t>
        </w:r>
        <w:r w:rsidR="00172EC6">
          <w:rPr>
            <w:webHidden/>
          </w:rPr>
          <w:tab/>
        </w:r>
        <w:r w:rsidR="00172EC6">
          <w:rPr>
            <w:webHidden/>
          </w:rPr>
          <w:fldChar w:fldCharType="begin"/>
        </w:r>
        <w:r w:rsidR="00172EC6">
          <w:rPr>
            <w:webHidden/>
          </w:rPr>
          <w:instrText xml:space="preserve"> PAGEREF _Toc397345691 \h </w:instrText>
        </w:r>
        <w:r w:rsidR="00172EC6">
          <w:rPr>
            <w:webHidden/>
          </w:rPr>
        </w:r>
        <w:r w:rsidR="00172EC6">
          <w:rPr>
            <w:webHidden/>
          </w:rPr>
          <w:fldChar w:fldCharType="separate"/>
        </w:r>
        <w:r w:rsidR="00860326">
          <w:rPr>
            <w:webHidden/>
          </w:rPr>
          <w:t>50</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92" w:history="1">
        <w:r w:rsidR="00172EC6" w:rsidRPr="00BE6D7E">
          <w:rPr>
            <w:rStyle w:val="Hyperlink"/>
          </w:rPr>
          <w:t>Appendix F –  Map of areas visited in 2013</w:t>
        </w:r>
        <w:r w:rsidR="00172EC6" w:rsidRPr="00BE6D7E">
          <w:rPr>
            <w:rStyle w:val="Hyperlink"/>
            <w:rFonts w:eastAsia="Times New Roman"/>
            <w:spacing w:val="22"/>
            <w:lang w:eastAsia="en-AU"/>
          </w:rPr>
          <w:t>-14</w:t>
        </w:r>
        <w:r w:rsidR="00172EC6">
          <w:rPr>
            <w:webHidden/>
          </w:rPr>
          <w:tab/>
        </w:r>
        <w:r w:rsidR="00172EC6">
          <w:rPr>
            <w:webHidden/>
          </w:rPr>
          <w:fldChar w:fldCharType="begin"/>
        </w:r>
        <w:r w:rsidR="00172EC6">
          <w:rPr>
            <w:webHidden/>
          </w:rPr>
          <w:instrText xml:space="preserve"> PAGEREF _Toc397345692 \h </w:instrText>
        </w:r>
        <w:r w:rsidR="00172EC6">
          <w:rPr>
            <w:webHidden/>
          </w:rPr>
        </w:r>
        <w:r w:rsidR="00172EC6">
          <w:rPr>
            <w:webHidden/>
          </w:rPr>
          <w:fldChar w:fldCharType="separate"/>
        </w:r>
        <w:r w:rsidR="00860326">
          <w:rPr>
            <w:webHidden/>
          </w:rPr>
          <w:t>51</w:t>
        </w:r>
        <w:r w:rsidR="00172EC6">
          <w:rPr>
            <w:webHidden/>
          </w:rPr>
          <w:fldChar w:fldCharType="end"/>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93" w:history="1">
        <w:r w:rsidR="00172EC6" w:rsidRPr="00BE6D7E">
          <w:rPr>
            <w:rStyle w:val="Hyperlink"/>
          </w:rPr>
          <w:t>Appendix G – 2014 Working for Queensland Employee Opinion Survey Results – ADCQ</w:t>
        </w:r>
        <w:r w:rsidR="00172EC6">
          <w:rPr>
            <w:webHidden/>
          </w:rPr>
          <w:tab/>
        </w:r>
      </w:hyperlink>
    </w:p>
    <w:p w:rsidR="00172EC6" w:rsidRDefault="00DD77AA">
      <w:pPr>
        <w:pStyle w:val="TOC1"/>
        <w:rPr>
          <w:rFonts w:asciiTheme="minorHAnsi" w:hAnsiTheme="minorHAnsi" w:cstheme="minorBidi"/>
          <w:iCs w:val="0"/>
          <w:sz w:val="22"/>
          <w:szCs w:val="22"/>
          <w:shd w:val="clear" w:color="auto" w:fill="auto"/>
          <w:lang w:eastAsia="en-AU"/>
        </w:rPr>
      </w:pPr>
      <w:hyperlink w:anchor="_Toc397345694" w:history="1">
        <w:r w:rsidR="00172EC6" w:rsidRPr="00BE6D7E">
          <w:rPr>
            <w:rStyle w:val="Hyperlink"/>
          </w:rPr>
          <w:t>Appendix H – Certified Financial Statement</w:t>
        </w:r>
        <w:r w:rsidR="00172EC6">
          <w:rPr>
            <w:webHidden/>
          </w:rPr>
          <w:tab/>
        </w:r>
      </w:hyperlink>
    </w:p>
    <w:p w:rsidR="00A63103" w:rsidRPr="002F3BB0" w:rsidRDefault="00855288" w:rsidP="00A63103">
      <w:pPr>
        <w:pStyle w:val="TOC1"/>
        <w:rPr>
          <w:rStyle w:val="Hyperlink"/>
          <w:color w:val="auto"/>
          <w:highlight w:val="yellow"/>
          <w:u w:val="none"/>
        </w:rPr>
      </w:pPr>
      <w:r w:rsidRPr="002F3BB0">
        <w:rPr>
          <w:highlight w:val="yellow"/>
          <w:lang w:eastAsia="en-AU"/>
        </w:rPr>
        <w:fldChar w:fldCharType="end"/>
      </w:r>
      <w:r w:rsidR="00A63103" w:rsidRPr="00A63103">
        <w:rPr>
          <w:rStyle w:val="Hyperlink"/>
          <w:color w:val="auto"/>
          <w:highlight w:val="yellow"/>
          <w:u w:val="none"/>
        </w:rPr>
        <w:t xml:space="preserve"> </w:t>
      </w:r>
    </w:p>
    <w:p w:rsidR="00855288" w:rsidRPr="002F3BB0" w:rsidRDefault="00855288" w:rsidP="00F21666">
      <w:pPr>
        <w:pStyle w:val="TOC1"/>
        <w:rPr>
          <w:color w:val="FF0000"/>
          <w:lang w:eastAsia="en-AU"/>
        </w:rPr>
      </w:pPr>
    </w:p>
    <w:p w:rsidR="008B2125" w:rsidRPr="002F3BB0" w:rsidRDefault="008B2125" w:rsidP="001F5D8E">
      <w:pPr>
        <w:pStyle w:val="Heading1"/>
        <w:pageBreakBefore/>
        <w:rPr>
          <w:rFonts w:asciiTheme="minorHAnsi" w:eastAsia="Times New Roman" w:hAnsiTheme="minorHAnsi" w:cstheme="minorHAnsi"/>
          <w:i w:val="0"/>
          <w:color w:val="auto"/>
          <w:lang w:eastAsia="en-AU"/>
        </w:rPr>
      </w:pPr>
      <w:bookmarkStart w:id="0" w:name="_Toc366487293"/>
      <w:bookmarkStart w:id="1" w:name="_Toc397345674"/>
      <w:r w:rsidRPr="002F3BB0">
        <w:rPr>
          <w:rFonts w:asciiTheme="minorHAnsi" w:eastAsia="Times New Roman" w:hAnsiTheme="minorHAnsi" w:cstheme="minorHAnsi"/>
          <w:i w:val="0"/>
          <w:color w:val="auto"/>
          <w:lang w:eastAsia="en-AU"/>
        </w:rPr>
        <w:lastRenderedPageBreak/>
        <w:t xml:space="preserve">Letter of </w:t>
      </w:r>
      <w:r w:rsidR="0062717A" w:rsidRPr="002F3BB0">
        <w:rPr>
          <w:rFonts w:asciiTheme="minorHAnsi" w:eastAsia="Times New Roman" w:hAnsiTheme="minorHAnsi" w:cstheme="minorHAnsi"/>
          <w:i w:val="0"/>
          <w:color w:val="auto"/>
          <w:lang w:eastAsia="en-AU"/>
        </w:rPr>
        <w:t>compliance</w:t>
      </w:r>
      <w:bookmarkEnd w:id="0"/>
      <w:bookmarkEnd w:id="1"/>
    </w:p>
    <w:p w:rsidR="0062717A" w:rsidRPr="002F3BB0" w:rsidRDefault="00216388" w:rsidP="00AF0607">
      <w:pPr>
        <w:spacing w:before="840" w:after="8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1</w:t>
      </w:r>
      <w:r w:rsidR="00C9506D" w:rsidRPr="002F3BB0">
        <w:rPr>
          <w:rFonts w:eastAsia="Times New Roman" w:cstheme="minorHAnsi"/>
          <w:i w:val="0"/>
          <w:sz w:val="22"/>
          <w:szCs w:val="22"/>
          <w:lang w:eastAsia="en-AU"/>
        </w:rPr>
        <w:t xml:space="preserve"> September</w:t>
      </w:r>
      <w:r w:rsidRPr="002F3BB0">
        <w:rPr>
          <w:rFonts w:eastAsia="Times New Roman" w:cstheme="minorHAnsi"/>
          <w:i w:val="0"/>
          <w:sz w:val="22"/>
          <w:szCs w:val="22"/>
          <w:lang w:eastAsia="en-AU"/>
        </w:rPr>
        <w:t xml:space="preserve"> 2014</w:t>
      </w:r>
    </w:p>
    <w:p w:rsidR="0062717A" w:rsidRPr="002F3BB0" w:rsidRDefault="0062717A" w:rsidP="0062717A">
      <w:pPr>
        <w:spacing w:after="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The Honourable Jarrod </w:t>
      </w:r>
      <w:proofErr w:type="spellStart"/>
      <w:r w:rsidRPr="002F3BB0">
        <w:rPr>
          <w:rFonts w:eastAsia="Times New Roman" w:cstheme="minorHAnsi"/>
          <w:i w:val="0"/>
          <w:sz w:val="22"/>
          <w:szCs w:val="22"/>
          <w:lang w:eastAsia="en-AU"/>
        </w:rPr>
        <w:t>Bleijie</w:t>
      </w:r>
      <w:proofErr w:type="spellEnd"/>
      <w:r w:rsidRPr="002F3BB0">
        <w:rPr>
          <w:rFonts w:eastAsia="Times New Roman" w:cstheme="minorHAnsi"/>
          <w:i w:val="0"/>
          <w:sz w:val="22"/>
          <w:szCs w:val="22"/>
          <w:lang w:eastAsia="en-AU"/>
        </w:rPr>
        <w:t xml:space="preserve"> MP</w:t>
      </w:r>
    </w:p>
    <w:p w:rsidR="0062717A" w:rsidRPr="002F3BB0" w:rsidRDefault="0062717A" w:rsidP="0062717A">
      <w:pPr>
        <w:spacing w:after="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Attorney-General and Minister for Justice </w:t>
      </w:r>
    </w:p>
    <w:p w:rsidR="0062717A" w:rsidRPr="002F3BB0" w:rsidRDefault="0062717A" w:rsidP="0062717A">
      <w:pPr>
        <w:spacing w:after="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Level 18 State Law Building</w:t>
      </w:r>
    </w:p>
    <w:p w:rsidR="0062717A" w:rsidRPr="002F3BB0" w:rsidRDefault="0062717A" w:rsidP="0062717A">
      <w:pPr>
        <w:spacing w:after="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50 Ann Street</w:t>
      </w:r>
    </w:p>
    <w:p w:rsidR="0062717A" w:rsidRPr="002F3BB0" w:rsidRDefault="0062717A" w:rsidP="00AF0607">
      <w:pPr>
        <w:spacing w:after="48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Brisbane Qld 4000</w:t>
      </w:r>
    </w:p>
    <w:p w:rsidR="0062717A" w:rsidRPr="002F3BB0" w:rsidRDefault="00AF0607" w:rsidP="00AF0607">
      <w:pPr>
        <w:spacing w:line="240" w:lineRule="auto"/>
        <w:rPr>
          <w:rFonts w:eastAsia="Times New Roman" w:cstheme="minorHAnsi"/>
          <w:i w:val="0"/>
          <w:sz w:val="22"/>
          <w:szCs w:val="22"/>
          <w:lang w:eastAsia="en-AU"/>
        </w:rPr>
      </w:pPr>
      <w:r>
        <w:rPr>
          <w:rFonts w:eastAsia="Times New Roman" w:cstheme="minorHAnsi"/>
          <w:i w:val="0"/>
          <w:sz w:val="22"/>
          <w:szCs w:val="22"/>
          <w:lang w:eastAsia="en-AU"/>
        </w:rPr>
        <w:t>Dear Attorney-General</w:t>
      </w:r>
    </w:p>
    <w:p w:rsidR="0062717A" w:rsidRPr="002F3BB0" w:rsidRDefault="0062717A" w:rsidP="00AF0607">
      <w:pPr>
        <w:spacing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I am pleased </w:t>
      </w:r>
      <w:r w:rsidR="00216388" w:rsidRPr="002F3BB0">
        <w:rPr>
          <w:rFonts w:eastAsia="Times New Roman" w:cstheme="minorHAnsi"/>
          <w:i w:val="0"/>
          <w:sz w:val="22"/>
          <w:szCs w:val="22"/>
          <w:lang w:eastAsia="en-AU"/>
        </w:rPr>
        <w:t>to present the Annual Report 2013</w:t>
      </w:r>
      <w:r w:rsidRPr="002F3BB0">
        <w:rPr>
          <w:rFonts w:eastAsia="Times New Roman" w:cstheme="minorHAnsi"/>
          <w:i w:val="0"/>
          <w:sz w:val="22"/>
          <w:szCs w:val="22"/>
          <w:lang w:eastAsia="en-AU"/>
        </w:rPr>
        <w:t>-201</w:t>
      </w:r>
      <w:r w:rsidR="00216388" w:rsidRPr="002F3BB0">
        <w:rPr>
          <w:rFonts w:eastAsia="Times New Roman" w:cstheme="minorHAnsi"/>
          <w:i w:val="0"/>
          <w:sz w:val="22"/>
          <w:szCs w:val="22"/>
          <w:lang w:eastAsia="en-AU"/>
        </w:rPr>
        <w:t>4</w:t>
      </w:r>
      <w:r w:rsidRPr="002F3BB0">
        <w:rPr>
          <w:rFonts w:eastAsia="Times New Roman" w:cstheme="minorHAnsi"/>
          <w:i w:val="0"/>
          <w:sz w:val="22"/>
          <w:szCs w:val="22"/>
          <w:lang w:eastAsia="en-AU"/>
        </w:rPr>
        <w:t xml:space="preserve"> and financial statements for </w:t>
      </w:r>
      <w:bookmarkStart w:id="2" w:name="OLE_LINK40"/>
      <w:bookmarkStart w:id="3" w:name="OLE_LINK41"/>
      <w:r w:rsidRPr="002F3BB0">
        <w:rPr>
          <w:rFonts w:eastAsia="Times New Roman" w:cstheme="minorHAnsi"/>
          <w:i w:val="0"/>
          <w:sz w:val="22"/>
          <w:szCs w:val="22"/>
          <w:lang w:eastAsia="en-AU"/>
        </w:rPr>
        <w:t>the Anti-Discrimination Commission Queensland.</w:t>
      </w:r>
      <w:bookmarkEnd w:id="2"/>
      <w:bookmarkEnd w:id="3"/>
    </w:p>
    <w:p w:rsidR="0062717A" w:rsidRPr="002F3BB0" w:rsidRDefault="0062717A" w:rsidP="0062717A">
      <w:pPr>
        <w:spacing w:after="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I certify that this Annual Report complies with:</w:t>
      </w:r>
    </w:p>
    <w:p w:rsidR="0062717A" w:rsidRPr="002F3BB0" w:rsidRDefault="0062717A" w:rsidP="00A837E5">
      <w:pPr>
        <w:numPr>
          <w:ilvl w:val="0"/>
          <w:numId w:val="13"/>
        </w:numPr>
        <w:spacing w:before="120" w:after="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the prescribed requirements of the </w:t>
      </w:r>
      <w:r w:rsidRPr="002F3BB0">
        <w:rPr>
          <w:rFonts w:eastAsia="Times New Roman" w:cstheme="minorHAnsi"/>
          <w:sz w:val="22"/>
          <w:szCs w:val="22"/>
          <w:lang w:eastAsia="en-AU"/>
        </w:rPr>
        <w:t>Financial Accountability Act 2009</w:t>
      </w:r>
      <w:r w:rsidRPr="002F3BB0">
        <w:rPr>
          <w:rFonts w:eastAsia="Times New Roman" w:cstheme="minorHAnsi"/>
          <w:i w:val="0"/>
          <w:sz w:val="22"/>
          <w:szCs w:val="22"/>
          <w:lang w:eastAsia="en-AU"/>
        </w:rPr>
        <w:t xml:space="preserve"> and the </w:t>
      </w:r>
      <w:r w:rsidRPr="002F3BB0">
        <w:rPr>
          <w:rFonts w:eastAsia="Times New Roman" w:cstheme="minorHAnsi"/>
          <w:sz w:val="22"/>
          <w:szCs w:val="22"/>
          <w:lang w:eastAsia="en-AU"/>
        </w:rPr>
        <w:t>Financial and Performance Management Standard 2009</w:t>
      </w:r>
      <w:r w:rsidRPr="002F3BB0">
        <w:rPr>
          <w:rFonts w:eastAsia="Times New Roman" w:cstheme="minorHAnsi"/>
          <w:i w:val="0"/>
          <w:sz w:val="22"/>
          <w:szCs w:val="22"/>
          <w:lang w:eastAsia="en-AU"/>
        </w:rPr>
        <w:t>, and</w:t>
      </w:r>
    </w:p>
    <w:p w:rsidR="0062717A" w:rsidRPr="002F3BB0" w:rsidRDefault="0062717A" w:rsidP="00AF0607">
      <w:pPr>
        <w:numPr>
          <w:ilvl w:val="0"/>
          <w:numId w:val="13"/>
        </w:numPr>
        <w:spacing w:before="120" w:line="240" w:lineRule="auto"/>
        <w:rPr>
          <w:rFonts w:eastAsia="Times New Roman" w:cstheme="minorHAnsi"/>
          <w:i w:val="0"/>
          <w:sz w:val="22"/>
          <w:szCs w:val="22"/>
          <w:lang w:eastAsia="en-AU"/>
        </w:rPr>
      </w:pPr>
      <w:proofErr w:type="gramStart"/>
      <w:r w:rsidRPr="002F3BB0">
        <w:rPr>
          <w:rFonts w:eastAsia="Times New Roman" w:cstheme="minorHAnsi"/>
          <w:i w:val="0"/>
          <w:sz w:val="22"/>
          <w:szCs w:val="22"/>
          <w:lang w:eastAsia="en-AU"/>
        </w:rPr>
        <w:t>the</w:t>
      </w:r>
      <w:proofErr w:type="gramEnd"/>
      <w:r w:rsidRPr="002F3BB0">
        <w:rPr>
          <w:rFonts w:eastAsia="Times New Roman" w:cstheme="minorHAnsi"/>
          <w:i w:val="0"/>
          <w:sz w:val="22"/>
          <w:szCs w:val="22"/>
          <w:lang w:eastAsia="en-AU"/>
        </w:rPr>
        <w:t xml:space="preserve"> detailed requirements set out in the Annual report requirements for Queensland Government agencies.</w:t>
      </w:r>
    </w:p>
    <w:p w:rsidR="0062717A" w:rsidRPr="002F3BB0" w:rsidRDefault="0062717A" w:rsidP="00AF0607">
      <w:pPr>
        <w:spacing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A checklist outlining the annual reporting requirements can be found at Appendix B of this annual report or accessed at www.adcq.qld.gov.au.</w:t>
      </w:r>
    </w:p>
    <w:p w:rsidR="0062717A" w:rsidRPr="002F3BB0" w:rsidRDefault="00AF0607" w:rsidP="00AF0607">
      <w:pPr>
        <w:spacing w:after="1800" w:line="240" w:lineRule="auto"/>
        <w:rPr>
          <w:rFonts w:eastAsia="Times New Roman" w:cstheme="minorHAnsi"/>
          <w:i w:val="0"/>
          <w:sz w:val="22"/>
          <w:szCs w:val="22"/>
          <w:lang w:eastAsia="en-AU"/>
        </w:rPr>
      </w:pPr>
      <w:r w:rsidRPr="002F3BB0">
        <w:rPr>
          <w:rFonts w:eastAsia="Times New Roman" w:cstheme="minorHAnsi"/>
          <w:i w:val="0"/>
          <w:noProof/>
          <w:sz w:val="22"/>
          <w:szCs w:val="22"/>
          <w:lang w:eastAsia="en-AU"/>
        </w:rPr>
        <w:drawing>
          <wp:anchor distT="0" distB="0" distL="114300" distR="114300" simplePos="0" relativeHeight="251716608" behindDoc="0" locked="0" layoutInCell="1" allowOverlap="1" wp14:anchorId="57DB2C78" wp14:editId="0E45D8EE">
            <wp:simplePos x="0" y="0"/>
            <wp:positionH relativeFrom="column">
              <wp:posOffset>-64770</wp:posOffset>
            </wp:positionH>
            <wp:positionV relativeFrom="paragraph">
              <wp:posOffset>214630</wp:posOffset>
            </wp:positionV>
            <wp:extent cx="1224915" cy="1054100"/>
            <wp:effectExtent l="0" t="0" r="0" b="0"/>
            <wp:wrapNone/>
            <wp:docPr id="34" name="Picture 34" descr="Signature of Kevin Cocks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Cocks signature.jpg"/>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24915" cy="1054100"/>
                    </a:xfrm>
                    <a:prstGeom prst="rect">
                      <a:avLst/>
                    </a:prstGeom>
                  </pic:spPr>
                </pic:pic>
              </a:graphicData>
            </a:graphic>
            <wp14:sizeRelH relativeFrom="page">
              <wp14:pctWidth>0</wp14:pctWidth>
            </wp14:sizeRelH>
            <wp14:sizeRelV relativeFrom="page">
              <wp14:pctHeight>0</wp14:pctHeight>
            </wp14:sizeRelV>
          </wp:anchor>
        </w:drawing>
      </w:r>
      <w:r w:rsidR="0062717A" w:rsidRPr="002F3BB0">
        <w:rPr>
          <w:rFonts w:eastAsia="Times New Roman" w:cstheme="minorHAnsi"/>
          <w:i w:val="0"/>
          <w:sz w:val="22"/>
          <w:szCs w:val="22"/>
          <w:lang w:eastAsia="en-AU"/>
        </w:rPr>
        <w:t>Yours sincerely</w:t>
      </w:r>
    </w:p>
    <w:p w:rsidR="0062717A" w:rsidRPr="00AF0607" w:rsidRDefault="0062717A" w:rsidP="0062717A">
      <w:pPr>
        <w:spacing w:after="0" w:line="240" w:lineRule="auto"/>
        <w:rPr>
          <w:rFonts w:eastAsia="Times New Roman" w:cstheme="minorHAnsi"/>
          <w:b/>
          <w:i w:val="0"/>
          <w:sz w:val="22"/>
          <w:szCs w:val="22"/>
          <w:lang w:eastAsia="en-AU"/>
        </w:rPr>
      </w:pPr>
      <w:r w:rsidRPr="00AF0607">
        <w:rPr>
          <w:rFonts w:eastAsia="Times New Roman" w:cstheme="minorHAnsi"/>
          <w:b/>
          <w:i w:val="0"/>
          <w:sz w:val="22"/>
          <w:szCs w:val="22"/>
          <w:lang w:eastAsia="en-AU"/>
        </w:rPr>
        <w:t>Kevin Cocks AM</w:t>
      </w:r>
    </w:p>
    <w:p w:rsidR="0062717A" w:rsidRPr="00AF0607" w:rsidRDefault="0062717A" w:rsidP="0062717A">
      <w:pPr>
        <w:spacing w:after="0" w:line="240" w:lineRule="auto"/>
        <w:rPr>
          <w:rFonts w:eastAsia="Times New Roman" w:cstheme="minorHAnsi"/>
          <w:b/>
          <w:i w:val="0"/>
          <w:sz w:val="22"/>
          <w:szCs w:val="22"/>
          <w:lang w:eastAsia="en-AU"/>
        </w:rPr>
      </w:pPr>
      <w:r w:rsidRPr="00AF0607">
        <w:rPr>
          <w:rFonts w:eastAsia="Times New Roman" w:cstheme="minorHAnsi"/>
          <w:b/>
          <w:i w:val="0"/>
          <w:sz w:val="22"/>
          <w:szCs w:val="22"/>
          <w:lang w:eastAsia="en-AU"/>
        </w:rPr>
        <w:t>Commissioner</w:t>
      </w:r>
    </w:p>
    <w:p w:rsidR="0062717A" w:rsidRPr="00AF0607" w:rsidRDefault="0062717A" w:rsidP="0062717A">
      <w:pPr>
        <w:spacing w:after="0" w:line="240" w:lineRule="auto"/>
        <w:rPr>
          <w:rFonts w:eastAsia="Times New Roman" w:cstheme="minorHAnsi"/>
          <w:b/>
          <w:i w:val="0"/>
          <w:sz w:val="22"/>
          <w:szCs w:val="22"/>
          <w:lang w:eastAsia="en-AU"/>
        </w:rPr>
      </w:pPr>
      <w:r w:rsidRPr="00AF0607">
        <w:rPr>
          <w:rFonts w:eastAsia="Times New Roman" w:cstheme="minorHAnsi"/>
          <w:b/>
          <w:i w:val="0"/>
          <w:sz w:val="22"/>
          <w:szCs w:val="22"/>
          <w:lang w:eastAsia="en-AU"/>
        </w:rPr>
        <w:t>Anti-Discrimination Commission Queensland</w:t>
      </w:r>
    </w:p>
    <w:p w:rsidR="008B2125" w:rsidRPr="002A0F92" w:rsidRDefault="008B2125" w:rsidP="001F5D8E">
      <w:pPr>
        <w:pStyle w:val="Heading1"/>
        <w:pageBreakBefore/>
        <w:rPr>
          <w:rFonts w:asciiTheme="minorHAnsi" w:eastAsia="Times New Roman" w:hAnsiTheme="minorHAnsi" w:cstheme="minorHAnsi"/>
          <w:i w:val="0"/>
          <w:color w:val="auto"/>
          <w:lang w:eastAsia="en-AU"/>
        </w:rPr>
      </w:pPr>
      <w:bookmarkStart w:id="4" w:name="_Toc366487294"/>
      <w:bookmarkStart w:id="5" w:name="_Toc397345675"/>
      <w:r w:rsidRPr="002A0F92">
        <w:rPr>
          <w:rFonts w:asciiTheme="minorHAnsi" w:eastAsia="Times New Roman" w:hAnsiTheme="minorHAnsi" w:cstheme="minorHAnsi"/>
          <w:i w:val="0"/>
          <w:color w:val="auto"/>
          <w:lang w:eastAsia="en-AU"/>
        </w:rPr>
        <w:lastRenderedPageBreak/>
        <w:t>Commissioner’s foreword</w:t>
      </w:r>
      <w:bookmarkEnd w:id="4"/>
      <w:bookmarkEnd w:id="5"/>
    </w:p>
    <w:p w:rsidR="00697A98" w:rsidRDefault="00697A98" w:rsidP="00147008">
      <w:pPr>
        <w:pStyle w:val="NormalWeb"/>
        <w:spacing w:before="840" w:beforeAutospacing="0" w:after="0" w:afterAutospacing="0"/>
        <w:rPr>
          <w:rFonts w:asciiTheme="minorHAnsi" w:hAnsiTheme="minorHAnsi" w:cstheme="minorHAnsi"/>
          <w:i w:val="0"/>
          <w:sz w:val="22"/>
          <w:szCs w:val="22"/>
          <w:lang w:val="en"/>
        </w:rPr>
      </w:pPr>
      <w:r w:rsidRPr="004E0273">
        <w:rPr>
          <w:rFonts w:asciiTheme="minorHAnsi" w:hAnsiTheme="minorHAnsi" w:cstheme="minorHAnsi"/>
          <w:i w:val="0"/>
          <w:sz w:val="22"/>
          <w:szCs w:val="22"/>
          <w:lang w:val="en"/>
        </w:rPr>
        <w:t>Welcome to the Anti-Discrimination Commission Queensland</w:t>
      </w:r>
      <w:r w:rsidR="004052EB">
        <w:rPr>
          <w:rFonts w:asciiTheme="minorHAnsi" w:hAnsiTheme="minorHAnsi" w:cstheme="minorHAnsi"/>
          <w:i w:val="0"/>
          <w:sz w:val="22"/>
          <w:szCs w:val="22"/>
          <w:lang w:val="en"/>
        </w:rPr>
        <w:t>’s</w:t>
      </w:r>
      <w:r w:rsidRPr="004E0273">
        <w:rPr>
          <w:rFonts w:asciiTheme="minorHAnsi" w:hAnsiTheme="minorHAnsi" w:cstheme="minorHAnsi"/>
          <w:i w:val="0"/>
          <w:sz w:val="22"/>
          <w:szCs w:val="22"/>
          <w:lang w:val="en"/>
        </w:rPr>
        <w:t xml:space="preserve"> Annual Report </w:t>
      </w:r>
      <w:r w:rsidR="004052EB">
        <w:rPr>
          <w:rFonts w:asciiTheme="minorHAnsi" w:hAnsiTheme="minorHAnsi" w:cstheme="minorHAnsi"/>
          <w:i w:val="0"/>
          <w:sz w:val="22"/>
          <w:szCs w:val="22"/>
          <w:lang w:val="en"/>
        </w:rPr>
        <w:t xml:space="preserve">for </w:t>
      </w:r>
      <w:r w:rsidRPr="004E0273">
        <w:rPr>
          <w:rFonts w:asciiTheme="minorHAnsi" w:hAnsiTheme="minorHAnsi" w:cstheme="minorHAnsi"/>
          <w:i w:val="0"/>
          <w:sz w:val="22"/>
          <w:szCs w:val="22"/>
          <w:lang w:val="en"/>
        </w:rPr>
        <w:t>201</w:t>
      </w:r>
      <w:r w:rsidR="007A7555" w:rsidRPr="004E0273">
        <w:rPr>
          <w:rFonts w:asciiTheme="minorHAnsi" w:hAnsiTheme="minorHAnsi" w:cstheme="minorHAnsi"/>
          <w:i w:val="0"/>
          <w:sz w:val="22"/>
          <w:szCs w:val="22"/>
          <w:lang w:val="en"/>
        </w:rPr>
        <w:t>3</w:t>
      </w:r>
      <w:r w:rsidRPr="004E0273">
        <w:rPr>
          <w:rFonts w:asciiTheme="minorHAnsi" w:hAnsiTheme="minorHAnsi" w:cstheme="minorHAnsi"/>
          <w:i w:val="0"/>
          <w:sz w:val="22"/>
          <w:szCs w:val="22"/>
          <w:lang w:val="en"/>
        </w:rPr>
        <w:t>-1</w:t>
      </w:r>
      <w:r w:rsidR="007A7555" w:rsidRPr="004E0273">
        <w:rPr>
          <w:rFonts w:asciiTheme="minorHAnsi" w:hAnsiTheme="minorHAnsi" w:cstheme="minorHAnsi"/>
          <w:i w:val="0"/>
          <w:sz w:val="22"/>
          <w:szCs w:val="22"/>
          <w:lang w:val="en"/>
        </w:rPr>
        <w:t>4</w:t>
      </w:r>
      <w:r w:rsidRPr="004E0273">
        <w:rPr>
          <w:rFonts w:asciiTheme="minorHAnsi" w:hAnsiTheme="minorHAnsi" w:cstheme="minorHAnsi"/>
          <w:i w:val="0"/>
          <w:sz w:val="22"/>
          <w:szCs w:val="22"/>
          <w:lang w:val="en"/>
        </w:rPr>
        <w:t>.</w:t>
      </w:r>
    </w:p>
    <w:p w:rsidR="004E0273" w:rsidRPr="002A0F92" w:rsidRDefault="004E0273" w:rsidP="00147008">
      <w:pPr>
        <w:pStyle w:val="NormalWeb"/>
        <w:spacing w:before="240" w:beforeAutospacing="0" w:after="0" w:afterAutospacing="0"/>
        <w:rPr>
          <w:rFonts w:asciiTheme="minorHAnsi" w:hAnsiTheme="minorHAnsi" w:cstheme="minorHAnsi"/>
          <w:i w:val="0"/>
          <w:sz w:val="22"/>
          <w:szCs w:val="22"/>
          <w:lang w:val="en"/>
        </w:rPr>
      </w:pPr>
      <w:r w:rsidRPr="002A0F92">
        <w:rPr>
          <w:rFonts w:asciiTheme="minorHAnsi" w:hAnsiTheme="minorHAnsi" w:cstheme="minorHAnsi"/>
          <w:i w:val="0"/>
          <w:sz w:val="22"/>
          <w:szCs w:val="22"/>
          <w:lang w:val="en"/>
        </w:rPr>
        <w:t>The Anti-Discrimination Commission Queensland has a legislative requirement and is committed to strengthening the understanding, promotion and protection of human rights in Queensland. We do this work through receiving and managing complaints, training and education, research and submissions, and a broad range of activities to engage and inspire the community.</w:t>
      </w:r>
    </w:p>
    <w:p w:rsidR="004E0273" w:rsidRPr="002A0F92" w:rsidRDefault="004E0273" w:rsidP="00147008">
      <w:pPr>
        <w:pStyle w:val="NormalWeb"/>
        <w:spacing w:before="240" w:beforeAutospacing="0" w:after="0" w:afterAutospacing="0"/>
        <w:rPr>
          <w:rFonts w:asciiTheme="minorHAnsi" w:hAnsiTheme="minorHAnsi" w:cstheme="minorHAnsi"/>
          <w:i w:val="0"/>
          <w:sz w:val="22"/>
          <w:szCs w:val="22"/>
          <w:lang w:val="en"/>
        </w:rPr>
      </w:pPr>
      <w:r w:rsidRPr="002A0F92">
        <w:rPr>
          <w:rFonts w:asciiTheme="minorHAnsi" w:hAnsiTheme="minorHAnsi" w:cstheme="minorHAnsi"/>
          <w:i w:val="0"/>
          <w:sz w:val="22"/>
          <w:szCs w:val="22"/>
          <w:lang w:val="en"/>
        </w:rPr>
        <w:t>Our annual report provides an overview of our progress towards achieving a fair and inclusive Queensland, through the delivery of our core services of complaint handling, community engagement, training, education and human rights promotion services. The report reflects our commitment to transparent corporate governance by giving an account of our revenue and how we have used public funds.</w:t>
      </w:r>
    </w:p>
    <w:p w:rsidR="004E0273" w:rsidRPr="002A0F92" w:rsidRDefault="004E0273" w:rsidP="00147008">
      <w:pPr>
        <w:pStyle w:val="NormalWeb"/>
        <w:spacing w:before="240" w:beforeAutospacing="0" w:after="0" w:afterAutospacing="0"/>
        <w:rPr>
          <w:rFonts w:asciiTheme="minorHAnsi" w:hAnsiTheme="minorHAnsi" w:cstheme="minorHAnsi"/>
          <w:i w:val="0"/>
          <w:sz w:val="22"/>
          <w:szCs w:val="22"/>
          <w:lang w:val="en"/>
        </w:rPr>
      </w:pPr>
      <w:r w:rsidRPr="002A0F92">
        <w:rPr>
          <w:rFonts w:asciiTheme="minorHAnsi" w:hAnsiTheme="minorHAnsi" w:cstheme="minorHAnsi"/>
          <w:i w:val="0"/>
          <w:sz w:val="22"/>
          <w:szCs w:val="22"/>
          <w:lang w:val="en"/>
        </w:rPr>
        <w:t>I would like to acknowledge and thank all the staff for their energy, professionalism and commitment to the promotion and protection of human rights in Queensland. The Commission has a workforce which embraces diverse viewpoints resulting in the Commission delivering its core services more innovatively, effectively and efficiently.</w:t>
      </w:r>
    </w:p>
    <w:p w:rsidR="006A73AA" w:rsidRPr="002A0F92" w:rsidRDefault="001A23E8">
      <w:pPr>
        <w:rPr>
          <w:rFonts w:cstheme="minorHAnsi"/>
          <w:sz w:val="22"/>
          <w:szCs w:val="22"/>
        </w:rPr>
      </w:pPr>
      <w:r w:rsidRPr="002A0F92">
        <w:rPr>
          <w:rFonts w:cstheme="minorHAnsi"/>
          <w:noProof/>
          <w:sz w:val="22"/>
          <w:szCs w:val="22"/>
          <w:lang w:eastAsia="en-AU"/>
        </w:rPr>
        <w:drawing>
          <wp:inline distT="0" distB="0" distL="0" distR="0" wp14:anchorId="289FD411" wp14:editId="16974D18">
            <wp:extent cx="1225296" cy="1054608"/>
            <wp:effectExtent l="0" t="0" r="0" b="0"/>
            <wp:docPr id="9" name="Picture 9" descr="Signature of Kevin Cocks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Cocks signature.jpg"/>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25296" cy="1054608"/>
                    </a:xfrm>
                    <a:prstGeom prst="rect">
                      <a:avLst/>
                    </a:prstGeom>
                  </pic:spPr>
                </pic:pic>
              </a:graphicData>
            </a:graphic>
          </wp:inline>
        </w:drawing>
      </w:r>
    </w:p>
    <w:p w:rsidR="001A23E8" w:rsidRPr="00B90BC7" w:rsidRDefault="001A23E8" w:rsidP="00B90BC7">
      <w:pPr>
        <w:spacing w:after="0"/>
        <w:rPr>
          <w:rFonts w:cstheme="minorHAnsi"/>
          <w:b/>
          <w:i w:val="0"/>
          <w:sz w:val="22"/>
          <w:szCs w:val="22"/>
        </w:rPr>
      </w:pPr>
      <w:r w:rsidRPr="00B90BC7">
        <w:rPr>
          <w:rFonts w:cstheme="minorHAnsi"/>
          <w:b/>
          <w:i w:val="0"/>
          <w:sz w:val="22"/>
          <w:szCs w:val="22"/>
        </w:rPr>
        <w:t>Kevin Cocks AM</w:t>
      </w:r>
    </w:p>
    <w:p w:rsidR="008F545E" w:rsidRPr="00B90BC7" w:rsidRDefault="001A23E8" w:rsidP="00B90BC7">
      <w:pPr>
        <w:spacing w:after="0"/>
        <w:rPr>
          <w:rFonts w:cstheme="minorHAnsi"/>
          <w:b/>
          <w:sz w:val="22"/>
          <w:szCs w:val="22"/>
        </w:rPr>
      </w:pPr>
      <w:r w:rsidRPr="00B90BC7">
        <w:rPr>
          <w:rFonts w:cstheme="minorHAnsi"/>
          <w:b/>
          <w:i w:val="0"/>
          <w:sz w:val="22"/>
          <w:szCs w:val="22"/>
        </w:rPr>
        <w:t>Commissioner</w:t>
      </w:r>
    </w:p>
    <w:p w:rsidR="00177728" w:rsidRPr="002A0F92" w:rsidRDefault="00B70E79" w:rsidP="001F5D8E">
      <w:pPr>
        <w:pStyle w:val="Heading1"/>
        <w:pageBreakBefore/>
        <w:rPr>
          <w:rFonts w:asciiTheme="minorHAnsi" w:hAnsiTheme="minorHAnsi" w:cstheme="minorHAnsi"/>
          <w:i w:val="0"/>
          <w:color w:val="auto"/>
        </w:rPr>
      </w:pPr>
      <w:bookmarkStart w:id="6" w:name="_Toc366487295"/>
      <w:bookmarkStart w:id="7" w:name="_Toc397345676"/>
      <w:r w:rsidRPr="002A0F92">
        <w:rPr>
          <w:rFonts w:asciiTheme="minorHAnsi" w:hAnsiTheme="minorHAnsi" w:cstheme="minorHAnsi"/>
          <w:i w:val="0"/>
          <w:color w:val="auto"/>
        </w:rPr>
        <w:lastRenderedPageBreak/>
        <w:t>Highlights</w:t>
      </w:r>
      <w:r w:rsidR="00177728" w:rsidRPr="002A0F92">
        <w:rPr>
          <w:rFonts w:asciiTheme="minorHAnsi" w:hAnsiTheme="minorHAnsi" w:cstheme="minorHAnsi"/>
          <w:i w:val="0"/>
          <w:color w:val="auto"/>
        </w:rPr>
        <w:t xml:space="preserve"> of 201</w:t>
      </w:r>
      <w:r w:rsidR="007A7555">
        <w:rPr>
          <w:rFonts w:asciiTheme="minorHAnsi" w:hAnsiTheme="minorHAnsi" w:cstheme="minorHAnsi"/>
          <w:i w:val="0"/>
          <w:color w:val="auto"/>
        </w:rPr>
        <w:t>3</w:t>
      </w:r>
      <w:r w:rsidR="009D5BD8">
        <w:rPr>
          <w:rFonts w:asciiTheme="minorHAnsi" w:hAnsiTheme="minorHAnsi" w:cstheme="minorHAnsi"/>
          <w:i w:val="0"/>
          <w:color w:val="auto"/>
        </w:rPr>
        <w:t>-</w:t>
      </w:r>
      <w:r w:rsidR="00177728" w:rsidRPr="002A0F92">
        <w:rPr>
          <w:rFonts w:asciiTheme="minorHAnsi" w:hAnsiTheme="minorHAnsi" w:cstheme="minorHAnsi"/>
          <w:i w:val="0"/>
          <w:color w:val="auto"/>
        </w:rPr>
        <w:t>1</w:t>
      </w:r>
      <w:bookmarkEnd w:id="6"/>
      <w:r w:rsidR="007A7555">
        <w:rPr>
          <w:rFonts w:asciiTheme="minorHAnsi" w:hAnsiTheme="minorHAnsi" w:cstheme="minorHAnsi"/>
          <w:i w:val="0"/>
          <w:color w:val="auto"/>
        </w:rPr>
        <w:t>4</w:t>
      </w:r>
      <w:bookmarkEnd w:id="7"/>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Caption w:val="Highlights of 2013-2014"/>
        <w:tblDescription w:val="Effective complaint resolution, Lockyer Valley community development"/>
      </w:tblPr>
      <w:tblGrid>
        <w:gridCol w:w="5039"/>
        <w:gridCol w:w="5039"/>
      </w:tblGrid>
      <w:tr w:rsidR="00177728" w:rsidRPr="002A0F92" w:rsidTr="000A6482">
        <w:trPr>
          <w:tblCellSpacing w:w="20" w:type="dxa"/>
        </w:trPr>
        <w:tc>
          <w:tcPr>
            <w:tcW w:w="4984" w:type="dxa"/>
          </w:tcPr>
          <w:p w:rsidR="00B36417" w:rsidRPr="002F3BB0" w:rsidRDefault="00B36417" w:rsidP="00B36417">
            <w:pPr>
              <w:spacing w:before="120" w:after="120"/>
              <w:rPr>
                <w:rFonts w:cstheme="minorHAnsi"/>
                <w:b/>
                <w:i w:val="0"/>
                <w:sz w:val="22"/>
                <w:szCs w:val="22"/>
              </w:rPr>
            </w:pPr>
            <w:r w:rsidRPr="002F3BB0">
              <w:rPr>
                <w:rFonts w:cstheme="minorHAnsi"/>
                <w:b/>
                <w:i w:val="0"/>
                <w:sz w:val="22"/>
                <w:szCs w:val="22"/>
              </w:rPr>
              <w:t>Effective complaint resolution</w:t>
            </w:r>
          </w:p>
          <w:p w:rsidR="00B36417" w:rsidRPr="002F3BB0" w:rsidRDefault="00B36417" w:rsidP="00927E99">
            <w:pPr>
              <w:spacing w:before="120" w:after="120"/>
              <w:rPr>
                <w:rFonts w:cstheme="minorHAnsi"/>
                <w:i w:val="0"/>
                <w:sz w:val="22"/>
                <w:szCs w:val="22"/>
              </w:rPr>
            </w:pPr>
            <w:r w:rsidRPr="002F3BB0">
              <w:rPr>
                <w:rFonts w:cstheme="minorHAnsi"/>
                <w:i w:val="0"/>
                <w:sz w:val="22"/>
                <w:szCs w:val="22"/>
              </w:rPr>
              <w:t xml:space="preserve">The ADCQ complaint management process remains effective, with 60% of complaints lodged with the </w:t>
            </w:r>
            <w:r w:rsidR="004052EB">
              <w:rPr>
                <w:rFonts w:cstheme="minorHAnsi"/>
                <w:i w:val="0"/>
                <w:sz w:val="22"/>
                <w:szCs w:val="22"/>
              </w:rPr>
              <w:t>C</w:t>
            </w:r>
            <w:r w:rsidRPr="002F3BB0">
              <w:rPr>
                <w:rFonts w:cstheme="minorHAnsi"/>
                <w:i w:val="0"/>
                <w:sz w:val="22"/>
                <w:szCs w:val="22"/>
              </w:rPr>
              <w:t xml:space="preserve">ommission this year being successfully resolved through conciliation. </w:t>
            </w:r>
          </w:p>
          <w:p w:rsidR="00B36417" w:rsidRPr="002F3BB0" w:rsidRDefault="00C277BE" w:rsidP="00927E99">
            <w:pPr>
              <w:spacing w:before="120" w:after="120"/>
              <w:rPr>
                <w:rFonts w:cstheme="minorHAnsi"/>
                <w:i w:val="0"/>
                <w:sz w:val="22"/>
                <w:szCs w:val="22"/>
              </w:rPr>
            </w:pPr>
            <w:r w:rsidRPr="002F3BB0">
              <w:rPr>
                <w:rFonts w:cstheme="minorHAnsi"/>
                <w:i w:val="0"/>
                <w:sz w:val="22"/>
                <w:szCs w:val="22"/>
              </w:rPr>
              <w:t>Eighty</w:t>
            </w:r>
            <w:r w:rsidR="00BA3AD4">
              <w:rPr>
                <w:rFonts w:cstheme="minorHAnsi"/>
                <w:i w:val="0"/>
                <w:sz w:val="22"/>
                <w:szCs w:val="22"/>
              </w:rPr>
              <w:t>-</w:t>
            </w:r>
            <w:r w:rsidRPr="002F3BB0">
              <w:rPr>
                <w:rFonts w:cstheme="minorHAnsi"/>
                <w:i w:val="0"/>
                <w:sz w:val="22"/>
                <w:szCs w:val="22"/>
              </w:rPr>
              <w:t>eight</w:t>
            </w:r>
            <w:r w:rsidR="00B36417" w:rsidRPr="002F3BB0">
              <w:rPr>
                <w:rFonts w:cstheme="minorHAnsi"/>
                <w:i w:val="0"/>
                <w:sz w:val="22"/>
                <w:szCs w:val="22"/>
              </w:rPr>
              <w:t xml:space="preserve"> per cent of complaints were finalised within six months and 89% of clients were satisfied with the complaint handling service.</w:t>
            </w:r>
          </w:p>
          <w:p w:rsidR="000E02B6" w:rsidRPr="002F3BB0" w:rsidRDefault="00B36417" w:rsidP="00927E99">
            <w:pPr>
              <w:spacing w:before="120" w:after="120"/>
              <w:rPr>
                <w:rFonts w:cstheme="minorHAnsi"/>
                <w:i w:val="0"/>
                <w:sz w:val="22"/>
                <w:szCs w:val="22"/>
              </w:rPr>
            </w:pPr>
            <w:r w:rsidRPr="002F3BB0">
              <w:rPr>
                <w:rFonts w:cstheme="minorHAnsi"/>
                <w:i w:val="0"/>
                <w:sz w:val="22"/>
                <w:szCs w:val="22"/>
              </w:rPr>
              <w:t xml:space="preserve">Overall complaint </w:t>
            </w:r>
            <w:r w:rsidR="00C277BE" w:rsidRPr="002F3BB0">
              <w:rPr>
                <w:rFonts w:cstheme="minorHAnsi"/>
                <w:i w:val="0"/>
                <w:sz w:val="22"/>
                <w:szCs w:val="22"/>
              </w:rPr>
              <w:t>trends</w:t>
            </w:r>
            <w:r w:rsidRPr="002F3BB0">
              <w:rPr>
                <w:rFonts w:cstheme="minorHAnsi"/>
                <w:i w:val="0"/>
                <w:sz w:val="22"/>
                <w:szCs w:val="22"/>
              </w:rPr>
              <w:t xml:space="preserve"> have remained consistent with previous years. </w:t>
            </w:r>
            <w:r w:rsidR="00C277BE" w:rsidRPr="002F3BB0">
              <w:rPr>
                <w:rFonts w:cstheme="minorHAnsi"/>
                <w:i w:val="0"/>
                <w:sz w:val="22"/>
                <w:szCs w:val="22"/>
              </w:rPr>
              <w:t>The highest number of complaints arose in the area of work</w:t>
            </w:r>
            <w:r w:rsidR="000E02B6" w:rsidRPr="002F3BB0">
              <w:rPr>
                <w:rFonts w:cstheme="minorHAnsi"/>
                <w:i w:val="0"/>
                <w:sz w:val="22"/>
                <w:szCs w:val="22"/>
              </w:rPr>
              <w:t xml:space="preserve">, with impairment, race and sex being the most </w:t>
            </w:r>
            <w:r w:rsidR="00BA3AD4">
              <w:rPr>
                <w:rFonts w:cstheme="minorHAnsi"/>
                <w:i w:val="0"/>
                <w:sz w:val="22"/>
                <w:szCs w:val="22"/>
              </w:rPr>
              <w:t>common</w:t>
            </w:r>
            <w:r w:rsidR="00976A4B">
              <w:rPr>
                <w:rFonts w:cstheme="minorHAnsi"/>
                <w:i w:val="0"/>
                <w:sz w:val="22"/>
                <w:szCs w:val="22"/>
              </w:rPr>
              <w:t xml:space="preserve"> ground for</w:t>
            </w:r>
            <w:r w:rsidR="000E02B6" w:rsidRPr="002F3BB0">
              <w:rPr>
                <w:rFonts w:cstheme="minorHAnsi"/>
                <w:i w:val="0"/>
                <w:sz w:val="22"/>
                <w:szCs w:val="22"/>
              </w:rPr>
              <w:t xml:space="preserve"> discrimination.  </w:t>
            </w:r>
          </w:p>
          <w:p w:rsidR="00427CE8" w:rsidRPr="00F32391" w:rsidRDefault="00B36417" w:rsidP="00927E99">
            <w:pPr>
              <w:spacing w:before="120" w:after="120"/>
              <w:rPr>
                <w:rFonts w:cstheme="minorHAnsi"/>
                <w:b/>
                <w:i w:val="0"/>
                <w:sz w:val="22"/>
                <w:szCs w:val="22"/>
              </w:rPr>
            </w:pPr>
            <w:r w:rsidRPr="00D96106">
              <w:rPr>
                <w:rFonts w:cstheme="minorHAnsi"/>
                <w:i w:val="0"/>
                <w:sz w:val="22"/>
                <w:szCs w:val="22"/>
              </w:rPr>
              <w:t>Read more –</w:t>
            </w:r>
            <w:r w:rsidR="000E02B6" w:rsidRPr="00D96106">
              <w:rPr>
                <w:rFonts w:cstheme="minorHAnsi"/>
                <w:i w:val="0"/>
                <w:sz w:val="22"/>
                <w:szCs w:val="22"/>
              </w:rPr>
              <w:t xml:space="preserve"> page </w:t>
            </w:r>
            <w:r w:rsidR="00D96106">
              <w:rPr>
                <w:rFonts w:cstheme="minorHAnsi"/>
                <w:i w:val="0"/>
                <w:sz w:val="22"/>
                <w:szCs w:val="22"/>
              </w:rPr>
              <w:t>23</w:t>
            </w:r>
          </w:p>
        </w:tc>
        <w:tc>
          <w:tcPr>
            <w:tcW w:w="4984" w:type="dxa"/>
          </w:tcPr>
          <w:p w:rsidR="00427CE8" w:rsidRPr="002F3BB0" w:rsidRDefault="0033521F" w:rsidP="00F32391">
            <w:pPr>
              <w:spacing w:before="120" w:after="120"/>
              <w:rPr>
                <w:rFonts w:cstheme="minorHAnsi"/>
                <w:b/>
                <w:i w:val="0"/>
                <w:sz w:val="22"/>
                <w:szCs w:val="22"/>
              </w:rPr>
            </w:pPr>
            <w:r w:rsidRPr="002F3BB0">
              <w:rPr>
                <w:rFonts w:cstheme="minorHAnsi"/>
                <w:b/>
                <w:i w:val="0"/>
                <w:sz w:val="22"/>
                <w:szCs w:val="22"/>
              </w:rPr>
              <w:t>Lockyer Valley community development</w:t>
            </w:r>
          </w:p>
          <w:p w:rsidR="005D00FF" w:rsidRPr="002F3BB0" w:rsidRDefault="005D00FF" w:rsidP="005D00FF">
            <w:pPr>
              <w:spacing w:before="120" w:after="120"/>
              <w:rPr>
                <w:rFonts w:cstheme="minorHAnsi"/>
                <w:i w:val="0"/>
                <w:sz w:val="22"/>
                <w:szCs w:val="22"/>
              </w:rPr>
            </w:pPr>
            <w:r w:rsidRPr="002F3BB0">
              <w:rPr>
                <w:rFonts w:cstheme="minorHAnsi"/>
                <w:i w:val="0"/>
                <w:sz w:val="22"/>
                <w:szCs w:val="22"/>
              </w:rPr>
              <w:t xml:space="preserve">Over the past two years, the ADCQ has been working in partnership with the Lockyer Valley Regional Council to implement a community engagement strategy in the region. </w:t>
            </w:r>
          </w:p>
          <w:p w:rsidR="005D00FF" w:rsidRPr="002F3BB0" w:rsidRDefault="005D00FF" w:rsidP="005D00FF">
            <w:pPr>
              <w:spacing w:before="120" w:after="120"/>
              <w:rPr>
                <w:rFonts w:cstheme="minorHAnsi"/>
                <w:i w:val="0"/>
                <w:sz w:val="22"/>
                <w:szCs w:val="22"/>
              </w:rPr>
            </w:pPr>
            <w:r w:rsidRPr="002F3BB0">
              <w:rPr>
                <w:rFonts w:cstheme="minorHAnsi"/>
                <w:i w:val="0"/>
                <w:sz w:val="22"/>
                <w:szCs w:val="22"/>
              </w:rPr>
              <w:t xml:space="preserve">The strategy is aimed at empowering the community to address the challenges associated with rapid population growth and increased diversity, as well as identifying and taking advantage of the opportunities presented by these changes. </w:t>
            </w:r>
          </w:p>
          <w:p w:rsidR="005D00FF" w:rsidRDefault="005D00FF" w:rsidP="005D00FF">
            <w:pPr>
              <w:spacing w:before="120" w:after="120"/>
              <w:rPr>
                <w:rFonts w:cstheme="minorHAnsi"/>
                <w:i w:val="0"/>
                <w:sz w:val="22"/>
                <w:szCs w:val="22"/>
              </w:rPr>
            </w:pPr>
            <w:r w:rsidRPr="002F3BB0">
              <w:rPr>
                <w:rFonts w:cstheme="minorHAnsi"/>
                <w:i w:val="0"/>
                <w:sz w:val="22"/>
                <w:szCs w:val="22"/>
              </w:rPr>
              <w:t>To date the strategy has involved working with local businesses, service and education providers and the general community.</w:t>
            </w:r>
            <w:r>
              <w:rPr>
                <w:rFonts w:cstheme="minorHAnsi"/>
                <w:i w:val="0"/>
                <w:sz w:val="22"/>
                <w:szCs w:val="22"/>
              </w:rPr>
              <w:t xml:space="preserve"> </w:t>
            </w:r>
          </w:p>
          <w:p w:rsidR="005D00FF" w:rsidRPr="005D00FF" w:rsidRDefault="00D96106" w:rsidP="005D00FF">
            <w:pPr>
              <w:spacing w:before="120" w:after="120"/>
              <w:rPr>
                <w:rFonts w:cstheme="minorHAnsi"/>
                <w:i w:val="0"/>
                <w:sz w:val="22"/>
                <w:szCs w:val="22"/>
              </w:rPr>
            </w:pPr>
            <w:r w:rsidRPr="00D96106">
              <w:rPr>
                <w:rFonts w:cstheme="minorHAnsi"/>
                <w:i w:val="0"/>
                <w:sz w:val="22"/>
                <w:szCs w:val="22"/>
              </w:rPr>
              <w:t xml:space="preserve">Read more – page </w:t>
            </w:r>
            <w:r>
              <w:rPr>
                <w:rFonts w:cstheme="minorHAnsi"/>
                <w:i w:val="0"/>
                <w:sz w:val="22"/>
                <w:szCs w:val="22"/>
              </w:rPr>
              <w:t>11</w:t>
            </w:r>
          </w:p>
        </w:tc>
      </w:tr>
      <w:tr w:rsidR="00177728" w:rsidRPr="002A0F92" w:rsidTr="000A6482">
        <w:trPr>
          <w:tblCellSpacing w:w="20" w:type="dxa"/>
        </w:trPr>
        <w:tc>
          <w:tcPr>
            <w:tcW w:w="4984" w:type="dxa"/>
          </w:tcPr>
          <w:p w:rsidR="00B36417" w:rsidRPr="002F3BB0" w:rsidRDefault="00B36417" w:rsidP="00B36417">
            <w:pPr>
              <w:spacing w:before="120" w:after="120"/>
              <w:rPr>
                <w:rFonts w:cstheme="minorHAnsi"/>
                <w:b/>
                <w:i w:val="0"/>
                <w:sz w:val="22"/>
                <w:szCs w:val="22"/>
              </w:rPr>
            </w:pPr>
            <w:r w:rsidRPr="002F3BB0">
              <w:rPr>
                <w:rFonts w:cstheme="minorHAnsi"/>
                <w:b/>
                <w:i w:val="0"/>
                <w:sz w:val="22"/>
                <w:szCs w:val="22"/>
              </w:rPr>
              <w:t>Resources for schools</w:t>
            </w:r>
          </w:p>
          <w:p w:rsidR="00B36417" w:rsidRPr="002F3BB0" w:rsidRDefault="00B36417" w:rsidP="00B36417">
            <w:pPr>
              <w:spacing w:before="120" w:after="120"/>
              <w:rPr>
                <w:rFonts w:cstheme="minorHAnsi"/>
                <w:i w:val="0"/>
                <w:sz w:val="22"/>
                <w:szCs w:val="22"/>
              </w:rPr>
            </w:pPr>
            <w:r w:rsidRPr="002F3BB0">
              <w:rPr>
                <w:rFonts w:cstheme="minorHAnsi"/>
                <w:i w:val="0"/>
                <w:sz w:val="22"/>
                <w:szCs w:val="22"/>
              </w:rPr>
              <w:t xml:space="preserve">The first phase of the ADCQ Schools Project was completed with the launch of a student and teacher resource kit in February 2014. The Discrimination and </w:t>
            </w:r>
            <w:r w:rsidR="00CB5799">
              <w:rPr>
                <w:rFonts w:cstheme="minorHAnsi"/>
                <w:i w:val="0"/>
                <w:sz w:val="22"/>
                <w:szCs w:val="22"/>
              </w:rPr>
              <w:t>S</w:t>
            </w:r>
            <w:r w:rsidRPr="002F3BB0">
              <w:rPr>
                <w:rFonts w:cstheme="minorHAnsi"/>
                <w:i w:val="0"/>
                <w:sz w:val="22"/>
                <w:szCs w:val="22"/>
              </w:rPr>
              <w:t xml:space="preserve">exual </w:t>
            </w:r>
            <w:r w:rsidR="00CB5799">
              <w:rPr>
                <w:rFonts w:cstheme="minorHAnsi"/>
                <w:i w:val="0"/>
                <w:sz w:val="22"/>
                <w:szCs w:val="22"/>
              </w:rPr>
              <w:t>H</w:t>
            </w:r>
            <w:r w:rsidRPr="002F3BB0">
              <w:rPr>
                <w:rFonts w:cstheme="minorHAnsi"/>
                <w:i w:val="0"/>
                <w:sz w:val="22"/>
                <w:szCs w:val="22"/>
              </w:rPr>
              <w:t xml:space="preserve">arassment at </w:t>
            </w:r>
            <w:r w:rsidR="00CB5799">
              <w:rPr>
                <w:rFonts w:cstheme="minorHAnsi"/>
                <w:i w:val="0"/>
                <w:sz w:val="22"/>
                <w:szCs w:val="22"/>
              </w:rPr>
              <w:t>W</w:t>
            </w:r>
            <w:r w:rsidRPr="002F3BB0">
              <w:rPr>
                <w:rFonts w:cstheme="minorHAnsi"/>
                <w:i w:val="0"/>
                <w:sz w:val="22"/>
                <w:szCs w:val="22"/>
              </w:rPr>
              <w:t xml:space="preserve">ork resource kit was made available to students and teachers </w:t>
            </w:r>
            <w:r w:rsidR="00192B54">
              <w:rPr>
                <w:rFonts w:cstheme="minorHAnsi"/>
                <w:i w:val="0"/>
                <w:sz w:val="22"/>
                <w:szCs w:val="22"/>
              </w:rPr>
              <w:t xml:space="preserve">on </w:t>
            </w:r>
            <w:r w:rsidRPr="002F3BB0">
              <w:rPr>
                <w:rFonts w:cstheme="minorHAnsi"/>
                <w:i w:val="0"/>
                <w:sz w:val="22"/>
                <w:szCs w:val="22"/>
              </w:rPr>
              <w:t xml:space="preserve">the ADCQ website and through internal communication in each of the three Queensland schools sectors. </w:t>
            </w:r>
          </w:p>
          <w:p w:rsidR="00B36417" w:rsidRPr="002F3BB0" w:rsidRDefault="00B36417" w:rsidP="00927E99">
            <w:pPr>
              <w:spacing w:before="120" w:after="120"/>
              <w:rPr>
                <w:rFonts w:cstheme="minorHAnsi"/>
                <w:i w:val="0"/>
                <w:sz w:val="22"/>
                <w:szCs w:val="22"/>
              </w:rPr>
            </w:pPr>
            <w:proofErr w:type="gramStart"/>
            <w:r w:rsidRPr="002F3BB0">
              <w:rPr>
                <w:rFonts w:cstheme="minorHAnsi"/>
                <w:i w:val="0"/>
                <w:sz w:val="22"/>
                <w:szCs w:val="22"/>
              </w:rPr>
              <w:t>Phase</w:t>
            </w:r>
            <w:proofErr w:type="gramEnd"/>
            <w:r w:rsidRPr="002F3BB0">
              <w:rPr>
                <w:rFonts w:cstheme="minorHAnsi"/>
                <w:i w:val="0"/>
                <w:sz w:val="22"/>
                <w:szCs w:val="22"/>
              </w:rPr>
              <w:t xml:space="preserve"> two of the project commenced in March 2014. It involve</w:t>
            </w:r>
            <w:r w:rsidR="00CB5799">
              <w:rPr>
                <w:rFonts w:cstheme="minorHAnsi"/>
                <w:i w:val="0"/>
                <w:sz w:val="22"/>
                <w:szCs w:val="22"/>
              </w:rPr>
              <w:t>s</w:t>
            </w:r>
            <w:r w:rsidRPr="002F3BB0">
              <w:rPr>
                <w:rFonts w:cstheme="minorHAnsi"/>
                <w:i w:val="0"/>
                <w:sz w:val="22"/>
                <w:szCs w:val="22"/>
              </w:rPr>
              <w:t xml:space="preserve"> the development of additional audio visual resources as well as </w:t>
            </w:r>
            <w:r w:rsidR="00CB5799">
              <w:rPr>
                <w:rFonts w:cstheme="minorHAnsi"/>
                <w:i w:val="0"/>
                <w:sz w:val="22"/>
                <w:szCs w:val="22"/>
              </w:rPr>
              <w:t>adapting</w:t>
            </w:r>
            <w:r w:rsidRPr="002F3BB0">
              <w:rPr>
                <w:rFonts w:cstheme="minorHAnsi"/>
                <w:i w:val="0"/>
                <w:sz w:val="22"/>
                <w:szCs w:val="22"/>
              </w:rPr>
              <w:t xml:space="preserve"> resources for students from non-English speaking backgrounds, students with low literacy and Aboriginal and T</w:t>
            </w:r>
            <w:r w:rsidR="00D32A66">
              <w:rPr>
                <w:rFonts w:cstheme="minorHAnsi"/>
                <w:i w:val="0"/>
                <w:sz w:val="22"/>
                <w:szCs w:val="22"/>
              </w:rPr>
              <w:t>orres Strait Islander students.</w:t>
            </w:r>
          </w:p>
          <w:p w:rsidR="007E58DA" w:rsidRPr="00F32391" w:rsidRDefault="00B36417" w:rsidP="00927E99">
            <w:pPr>
              <w:spacing w:before="120" w:after="120"/>
              <w:rPr>
                <w:rFonts w:cstheme="minorHAnsi"/>
                <w:i w:val="0"/>
                <w:sz w:val="22"/>
                <w:szCs w:val="22"/>
              </w:rPr>
            </w:pPr>
            <w:r w:rsidRPr="00D96106">
              <w:rPr>
                <w:rFonts w:cstheme="minorHAnsi"/>
                <w:i w:val="0"/>
                <w:sz w:val="22"/>
                <w:szCs w:val="22"/>
              </w:rPr>
              <w:t xml:space="preserve">Read more – page </w:t>
            </w:r>
            <w:r w:rsidR="00D96106" w:rsidRPr="00D96106">
              <w:rPr>
                <w:rFonts w:cstheme="minorHAnsi"/>
                <w:i w:val="0"/>
                <w:sz w:val="22"/>
                <w:szCs w:val="22"/>
              </w:rPr>
              <w:t>11</w:t>
            </w:r>
          </w:p>
        </w:tc>
        <w:tc>
          <w:tcPr>
            <w:tcW w:w="4984" w:type="dxa"/>
          </w:tcPr>
          <w:p w:rsidR="00427CE8" w:rsidRPr="002F3BB0" w:rsidRDefault="0033521F" w:rsidP="00F32391">
            <w:pPr>
              <w:spacing w:before="120" w:after="120"/>
              <w:rPr>
                <w:rFonts w:cstheme="minorHAnsi"/>
                <w:b/>
                <w:i w:val="0"/>
                <w:sz w:val="22"/>
                <w:szCs w:val="22"/>
              </w:rPr>
            </w:pPr>
            <w:r w:rsidRPr="002F3BB0">
              <w:rPr>
                <w:rFonts w:cstheme="minorHAnsi"/>
                <w:b/>
                <w:i w:val="0"/>
                <w:sz w:val="22"/>
                <w:szCs w:val="22"/>
              </w:rPr>
              <w:t>Online training</w:t>
            </w:r>
          </w:p>
          <w:p w:rsidR="000E02B6" w:rsidRPr="002F3BB0" w:rsidRDefault="00044572" w:rsidP="00044572">
            <w:pPr>
              <w:spacing w:before="120" w:after="120"/>
              <w:rPr>
                <w:rFonts w:cstheme="minorHAnsi"/>
                <w:i w:val="0"/>
                <w:sz w:val="22"/>
                <w:szCs w:val="22"/>
              </w:rPr>
            </w:pPr>
            <w:r w:rsidRPr="002F3BB0">
              <w:rPr>
                <w:rFonts w:cstheme="minorHAnsi"/>
                <w:i w:val="0"/>
                <w:sz w:val="22"/>
                <w:szCs w:val="22"/>
              </w:rPr>
              <w:t xml:space="preserve">This year the ADCQ, in partnership with e3 Learning, developed its first online training module – </w:t>
            </w:r>
            <w:r w:rsidRPr="002F3BB0">
              <w:rPr>
                <w:rFonts w:cstheme="minorHAnsi"/>
                <w:sz w:val="22"/>
                <w:szCs w:val="22"/>
              </w:rPr>
              <w:t>Discrimination Awareness in Queensland.</w:t>
            </w:r>
            <w:r w:rsidRPr="002F3BB0">
              <w:rPr>
                <w:rFonts w:cstheme="minorHAnsi"/>
                <w:i w:val="0"/>
                <w:sz w:val="22"/>
                <w:szCs w:val="22"/>
              </w:rPr>
              <w:t xml:space="preserve"> </w:t>
            </w:r>
          </w:p>
          <w:p w:rsidR="000E02B6" w:rsidRDefault="00044572" w:rsidP="00927E99">
            <w:pPr>
              <w:spacing w:before="120" w:after="120"/>
              <w:rPr>
                <w:rFonts w:cstheme="minorHAnsi"/>
                <w:i w:val="0"/>
                <w:sz w:val="22"/>
                <w:szCs w:val="22"/>
              </w:rPr>
            </w:pPr>
            <w:r w:rsidRPr="002F3BB0">
              <w:rPr>
                <w:rFonts w:cstheme="minorHAnsi"/>
                <w:i w:val="0"/>
                <w:sz w:val="22"/>
                <w:szCs w:val="22"/>
              </w:rPr>
              <w:t>The module, which is intended to complement rather than replace face-to-face training, is an ideal tool for staff induction and refresher training. It also provides an accessible training option for small business operators and others who may be unable to access face-to-face training for various reasons.</w:t>
            </w:r>
          </w:p>
          <w:p w:rsidR="00044572" w:rsidRPr="00044572" w:rsidRDefault="00044572" w:rsidP="00927E99">
            <w:pPr>
              <w:spacing w:before="120" w:after="120"/>
              <w:rPr>
                <w:rFonts w:cstheme="minorHAnsi"/>
                <w:i w:val="0"/>
                <w:sz w:val="22"/>
                <w:szCs w:val="22"/>
              </w:rPr>
            </w:pPr>
            <w:r w:rsidRPr="00D96106">
              <w:rPr>
                <w:rFonts w:cstheme="minorHAnsi"/>
                <w:i w:val="0"/>
                <w:sz w:val="22"/>
                <w:szCs w:val="22"/>
              </w:rPr>
              <w:t xml:space="preserve">Read more </w:t>
            </w:r>
            <w:r w:rsidR="00892977" w:rsidRPr="00D96106">
              <w:rPr>
                <w:rFonts w:cstheme="minorHAnsi"/>
                <w:i w:val="0"/>
                <w:sz w:val="22"/>
                <w:szCs w:val="22"/>
              </w:rPr>
              <w:t>-</w:t>
            </w:r>
            <w:r w:rsidR="00D96106" w:rsidRPr="00D96106">
              <w:rPr>
                <w:rFonts w:cstheme="minorHAnsi"/>
                <w:i w:val="0"/>
                <w:sz w:val="22"/>
                <w:szCs w:val="22"/>
              </w:rPr>
              <w:t xml:space="preserve"> page 20</w:t>
            </w:r>
          </w:p>
        </w:tc>
      </w:tr>
      <w:tr w:rsidR="00177728" w:rsidRPr="002A0F92" w:rsidTr="000A6482">
        <w:trPr>
          <w:tblCellSpacing w:w="20" w:type="dxa"/>
        </w:trPr>
        <w:tc>
          <w:tcPr>
            <w:tcW w:w="4984" w:type="dxa"/>
          </w:tcPr>
          <w:p w:rsidR="00177728" w:rsidRPr="002F3BB0" w:rsidRDefault="0033521F" w:rsidP="00135540">
            <w:pPr>
              <w:spacing w:before="120" w:after="120"/>
              <w:rPr>
                <w:rFonts w:cstheme="minorHAnsi"/>
                <w:b/>
                <w:i w:val="0"/>
                <w:sz w:val="22"/>
                <w:szCs w:val="22"/>
              </w:rPr>
            </w:pPr>
            <w:proofErr w:type="spellStart"/>
            <w:r w:rsidRPr="002F3BB0">
              <w:rPr>
                <w:rFonts w:cstheme="minorHAnsi"/>
                <w:b/>
                <w:i w:val="0"/>
                <w:sz w:val="22"/>
                <w:szCs w:val="22"/>
              </w:rPr>
              <w:t>Mabo</w:t>
            </w:r>
            <w:proofErr w:type="spellEnd"/>
            <w:r w:rsidRPr="002F3BB0">
              <w:rPr>
                <w:rFonts w:cstheme="minorHAnsi"/>
                <w:b/>
                <w:i w:val="0"/>
                <w:sz w:val="22"/>
                <w:szCs w:val="22"/>
              </w:rPr>
              <w:t xml:space="preserve"> Oration 2013</w:t>
            </w:r>
          </w:p>
          <w:p w:rsidR="005D00FF" w:rsidRPr="00927E99" w:rsidRDefault="00FC0572" w:rsidP="00927E99">
            <w:pPr>
              <w:spacing w:before="120" w:after="120"/>
              <w:rPr>
                <w:rFonts w:cstheme="minorHAnsi"/>
                <w:i w:val="0"/>
                <w:sz w:val="22"/>
                <w:szCs w:val="22"/>
              </w:rPr>
            </w:pPr>
            <w:r w:rsidRPr="00927E99">
              <w:rPr>
                <w:rFonts w:cstheme="minorHAnsi"/>
                <w:i w:val="0"/>
                <w:sz w:val="22"/>
                <w:szCs w:val="22"/>
              </w:rPr>
              <w:t xml:space="preserve">In July 2013, the ADCQ, in partnership with </w:t>
            </w:r>
            <w:r w:rsidR="0062061D" w:rsidRPr="00927E99">
              <w:rPr>
                <w:rFonts w:cstheme="minorHAnsi"/>
                <w:i w:val="0"/>
                <w:sz w:val="22"/>
                <w:szCs w:val="22"/>
              </w:rPr>
              <w:t xml:space="preserve">the </w:t>
            </w:r>
            <w:r w:rsidRPr="00927E99">
              <w:rPr>
                <w:rFonts w:cstheme="minorHAnsi"/>
                <w:i w:val="0"/>
                <w:sz w:val="22"/>
                <w:szCs w:val="22"/>
              </w:rPr>
              <w:t xml:space="preserve">Queensland Performing Arts Centre, hosted the 5th biennial </w:t>
            </w:r>
            <w:proofErr w:type="spellStart"/>
            <w:r w:rsidRPr="00927E99">
              <w:rPr>
                <w:rFonts w:cstheme="minorHAnsi"/>
                <w:i w:val="0"/>
                <w:sz w:val="22"/>
                <w:szCs w:val="22"/>
              </w:rPr>
              <w:t>Mabo</w:t>
            </w:r>
            <w:proofErr w:type="spellEnd"/>
            <w:r w:rsidRPr="00927E99">
              <w:rPr>
                <w:rFonts w:cstheme="minorHAnsi"/>
                <w:i w:val="0"/>
                <w:sz w:val="22"/>
                <w:szCs w:val="22"/>
              </w:rPr>
              <w:t xml:space="preserve"> Oration. </w:t>
            </w:r>
            <w:r w:rsidR="005D00FF" w:rsidRPr="00927E99">
              <w:rPr>
                <w:rFonts w:cstheme="minorHAnsi"/>
                <w:i w:val="0"/>
                <w:sz w:val="22"/>
                <w:szCs w:val="22"/>
              </w:rPr>
              <w:t xml:space="preserve">The </w:t>
            </w:r>
            <w:r w:rsidR="0062061D" w:rsidRPr="00927E99">
              <w:rPr>
                <w:rFonts w:cstheme="minorHAnsi"/>
                <w:i w:val="0"/>
                <w:sz w:val="22"/>
                <w:szCs w:val="22"/>
              </w:rPr>
              <w:t>O</w:t>
            </w:r>
            <w:r w:rsidR="005D00FF" w:rsidRPr="00927E99">
              <w:rPr>
                <w:rFonts w:cstheme="minorHAnsi"/>
                <w:i w:val="0"/>
                <w:sz w:val="22"/>
                <w:szCs w:val="22"/>
              </w:rPr>
              <w:t xml:space="preserve">ration was delivered by Les Malezer, co-chair of the National Congress of Australia’s First People. </w:t>
            </w:r>
          </w:p>
          <w:p w:rsidR="005D00FF" w:rsidRPr="00927E99" w:rsidRDefault="005D00FF" w:rsidP="00927E99">
            <w:pPr>
              <w:spacing w:before="120" w:after="120"/>
              <w:rPr>
                <w:rFonts w:cstheme="minorHAnsi"/>
                <w:i w:val="0"/>
                <w:sz w:val="22"/>
                <w:szCs w:val="22"/>
              </w:rPr>
            </w:pPr>
            <w:r w:rsidRPr="00927E99">
              <w:rPr>
                <w:rFonts w:cstheme="minorHAnsi"/>
                <w:i w:val="0"/>
                <w:sz w:val="22"/>
                <w:szCs w:val="22"/>
              </w:rPr>
              <w:t xml:space="preserve">Additional commentary was provided by human rights lawyer and Australian Jesuit priest, Father Frank Brennan. </w:t>
            </w:r>
          </w:p>
          <w:p w:rsidR="00427CE8" w:rsidRPr="00927E99" w:rsidRDefault="005D00FF" w:rsidP="00927E99">
            <w:pPr>
              <w:spacing w:before="120" w:after="120"/>
              <w:rPr>
                <w:rFonts w:cstheme="minorHAnsi"/>
                <w:i w:val="0"/>
                <w:sz w:val="22"/>
                <w:szCs w:val="22"/>
              </w:rPr>
            </w:pPr>
            <w:r w:rsidRPr="00927E99">
              <w:rPr>
                <w:rFonts w:cstheme="minorHAnsi"/>
                <w:i w:val="0"/>
                <w:sz w:val="22"/>
                <w:szCs w:val="22"/>
              </w:rPr>
              <w:t>The event was attended by over 400 people.</w:t>
            </w:r>
          </w:p>
          <w:p w:rsidR="005F18E1" w:rsidRPr="005D00FF" w:rsidRDefault="005F18E1" w:rsidP="00D96106">
            <w:pPr>
              <w:spacing w:before="120" w:after="120"/>
              <w:rPr>
                <w:rFonts w:cstheme="minorHAnsi"/>
                <w:i w:val="0"/>
                <w:sz w:val="22"/>
                <w:szCs w:val="22"/>
              </w:rPr>
            </w:pPr>
            <w:r w:rsidRPr="00D96106">
              <w:rPr>
                <w:rFonts w:ascii="Arial" w:hAnsi="Arial" w:cs="Arial"/>
                <w:bCs/>
                <w:i w:val="0"/>
                <w:sz w:val="22"/>
              </w:rPr>
              <w:t xml:space="preserve">Read more – page </w:t>
            </w:r>
            <w:r w:rsidR="00D96106" w:rsidRPr="00D96106">
              <w:rPr>
                <w:rFonts w:ascii="Arial" w:hAnsi="Arial" w:cs="Arial"/>
                <w:bCs/>
                <w:i w:val="0"/>
                <w:sz w:val="22"/>
              </w:rPr>
              <w:t>22</w:t>
            </w:r>
          </w:p>
        </w:tc>
        <w:tc>
          <w:tcPr>
            <w:tcW w:w="4984" w:type="dxa"/>
          </w:tcPr>
          <w:p w:rsidR="00AB4B8D" w:rsidRPr="002F3BB0" w:rsidRDefault="0073297F" w:rsidP="00135540">
            <w:pPr>
              <w:spacing w:before="120" w:after="120"/>
              <w:rPr>
                <w:rFonts w:cstheme="minorHAnsi"/>
                <w:b/>
                <w:i w:val="0"/>
                <w:sz w:val="22"/>
                <w:szCs w:val="22"/>
              </w:rPr>
            </w:pPr>
            <w:r w:rsidRPr="00F32391">
              <w:rPr>
                <w:rFonts w:cstheme="minorHAnsi"/>
                <w:i w:val="0"/>
                <w:sz w:val="22"/>
                <w:szCs w:val="22"/>
              </w:rPr>
              <w:t xml:space="preserve"> </w:t>
            </w:r>
            <w:r w:rsidR="00B36417" w:rsidRPr="002F3BB0">
              <w:rPr>
                <w:rFonts w:cstheme="minorHAnsi"/>
                <w:b/>
                <w:i w:val="0"/>
                <w:sz w:val="22"/>
                <w:szCs w:val="22"/>
              </w:rPr>
              <w:t>Delivering services to regional Queensland</w:t>
            </w:r>
          </w:p>
          <w:p w:rsidR="00B36417" w:rsidRPr="002F3BB0" w:rsidRDefault="00B36417" w:rsidP="00D32A66">
            <w:pPr>
              <w:spacing w:before="120" w:after="120"/>
              <w:rPr>
                <w:rFonts w:cstheme="minorHAnsi"/>
                <w:i w:val="0"/>
                <w:sz w:val="22"/>
                <w:szCs w:val="22"/>
              </w:rPr>
            </w:pPr>
            <w:r w:rsidRPr="002F3BB0">
              <w:rPr>
                <w:rFonts w:cstheme="minorHAnsi"/>
                <w:i w:val="0"/>
                <w:sz w:val="22"/>
                <w:szCs w:val="22"/>
              </w:rPr>
              <w:t xml:space="preserve">The ADCQ maintained a strong presence in areas of regional Queensland this financial year. </w:t>
            </w:r>
            <w:proofErr w:type="gramStart"/>
            <w:r w:rsidRPr="002F3BB0">
              <w:rPr>
                <w:rFonts w:cstheme="minorHAnsi"/>
                <w:i w:val="0"/>
                <w:sz w:val="22"/>
                <w:szCs w:val="22"/>
              </w:rPr>
              <w:t>Staff from our Cairns, Townsville and Rockhampton offices have</w:t>
            </w:r>
            <w:proofErr w:type="gramEnd"/>
            <w:r w:rsidRPr="002F3BB0">
              <w:rPr>
                <w:rFonts w:cstheme="minorHAnsi"/>
                <w:i w:val="0"/>
                <w:sz w:val="22"/>
                <w:szCs w:val="22"/>
              </w:rPr>
              <w:t xml:space="preserve"> been pro-active in attending a wide variety of community events and engagements throughout their regions</w:t>
            </w:r>
            <w:r w:rsidR="00AB4B8D" w:rsidRPr="002F3BB0">
              <w:rPr>
                <w:rFonts w:cstheme="minorHAnsi"/>
                <w:i w:val="0"/>
                <w:sz w:val="22"/>
                <w:szCs w:val="22"/>
              </w:rPr>
              <w:t>.</w:t>
            </w:r>
            <w:r w:rsidR="00C575F9" w:rsidRPr="002F3BB0">
              <w:rPr>
                <w:rFonts w:cstheme="minorHAnsi"/>
                <w:i w:val="0"/>
                <w:sz w:val="22"/>
                <w:szCs w:val="22"/>
              </w:rPr>
              <w:t xml:space="preserve"> They have also taken the lead in hosting several key community events promoting inclusive communities. </w:t>
            </w:r>
            <w:r w:rsidR="00D362BE" w:rsidRPr="002F3BB0">
              <w:rPr>
                <w:rFonts w:cstheme="minorHAnsi"/>
                <w:i w:val="0"/>
                <w:sz w:val="22"/>
                <w:szCs w:val="22"/>
              </w:rPr>
              <w:t xml:space="preserve">Continued demand for training in regional areas has enabled ongoing contact with Queenslanders outside major cities.  </w:t>
            </w:r>
          </w:p>
          <w:p w:rsidR="00427CE8" w:rsidRPr="00F32391" w:rsidRDefault="007E58DA" w:rsidP="00D96106">
            <w:pPr>
              <w:spacing w:before="120" w:after="120"/>
              <w:rPr>
                <w:rFonts w:cstheme="minorHAnsi"/>
                <w:i w:val="0"/>
                <w:sz w:val="22"/>
                <w:szCs w:val="22"/>
              </w:rPr>
            </w:pPr>
            <w:r w:rsidRPr="00D96106">
              <w:rPr>
                <w:rFonts w:cstheme="minorHAnsi"/>
                <w:i w:val="0"/>
                <w:sz w:val="22"/>
                <w:szCs w:val="22"/>
              </w:rPr>
              <w:t xml:space="preserve">Read more – page </w:t>
            </w:r>
            <w:r w:rsidR="00F32391" w:rsidRPr="00D96106">
              <w:rPr>
                <w:rFonts w:cstheme="minorHAnsi"/>
                <w:i w:val="0"/>
                <w:sz w:val="22"/>
                <w:szCs w:val="22"/>
              </w:rPr>
              <w:t>1</w:t>
            </w:r>
            <w:r w:rsidR="00D96106">
              <w:rPr>
                <w:rFonts w:cstheme="minorHAnsi"/>
                <w:i w:val="0"/>
                <w:sz w:val="22"/>
                <w:szCs w:val="22"/>
              </w:rPr>
              <w:t>7</w:t>
            </w:r>
          </w:p>
        </w:tc>
      </w:tr>
    </w:tbl>
    <w:p w:rsidR="008B2125" w:rsidRPr="002F3BB0" w:rsidRDefault="008B2125" w:rsidP="00BE783D">
      <w:pPr>
        <w:pStyle w:val="Heading1"/>
        <w:pageBreakBefore/>
        <w:rPr>
          <w:rFonts w:asciiTheme="minorHAnsi" w:eastAsia="Times New Roman" w:hAnsiTheme="minorHAnsi" w:cstheme="minorHAnsi"/>
          <w:i w:val="0"/>
          <w:lang w:eastAsia="en-AU"/>
        </w:rPr>
      </w:pPr>
      <w:bookmarkStart w:id="8" w:name="_Toc366487296"/>
      <w:bookmarkStart w:id="9" w:name="_Toc397345677"/>
      <w:r w:rsidRPr="002F3BB0">
        <w:rPr>
          <w:rFonts w:asciiTheme="minorHAnsi" w:eastAsia="Times New Roman" w:hAnsiTheme="minorHAnsi" w:cstheme="minorHAnsi"/>
          <w:i w:val="0"/>
          <w:color w:val="auto"/>
          <w:lang w:eastAsia="en-AU"/>
        </w:rPr>
        <w:lastRenderedPageBreak/>
        <w:t>About the Anti-Discrimination Commission Queensland</w:t>
      </w:r>
      <w:bookmarkEnd w:id="8"/>
      <w:bookmarkEnd w:id="9"/>
    </w:p>
    <w:p w:rsidR="00BE5EF8" w:rsidRDefault="00BE5EF8" w:rsidP="00016E67">
      <w:pPr>
        <w:spacing w:before="360" w:after="120" w:line="240" w:lineRule="auto"/>
        <w:rPr>
          <w:b/>
          <w:i w:val="0"/>
          <w:sz w:val="22"/>
          <w:szCs w:val="22"/>
        </w:rPr>
      </w:pPr>
      <w:r w:rsidRPr="009D7699">
        <w:rPr>
          <w:b/>
          <w:i w:val="0"/>
          <w:sz w:val="22"/>
          <w:szCs w:val="22"/>
        </w:rPr>
        <w:t>Our vision</w:t>
      </w:r>
    </w:p>
    <w:p w:rsidR="00BE5EF8" w:rsidRPr="002F3BB0" w:rsidRDefault="00BE5EF8" w:rsidP="00016E67">
      <w:pPr>
        <w:spacing w:after="0" w:line="240" w:lineRule="auto"/>
        <w:rPr>
          <w:rFonts w:cstheme="minorHAnsi"/>
          <w:i w:val="0"/>
          <w:sz w:val="22"/>
          <w:szCs w:val="22"/>
        </w:rPr>
      </w:pPr>
      <w:proofErr w:type="gramStart"/>
      <w:r w:rsidRPr="002F3BB0">
        <w:rPr>
          <w:rFonts w:cstheme="minorHAnsi"/>
          <w:i w:val="0"/>
          <w:sz w:val="22"/>
          <w:szCs w:val="22"/>
        </w:rPr>
        <w:t>A</w:t>
      </w:r>
      <w:r w:rsidR="00BE783D" w:rsidRPr="002F3BB0">
        <w:rPr>
          <w:rFonts w:cstheme="minorHAnsi"/>
          <w:i w:val="0"/>
          <w:sz w:val="22"/>
          <w:szCs w:val="22"/>
        </w:rPr>
        <w:t xml:space="preserve"> fair and inclusive Queensland.</w:t>
      </w:r>
      <w:proofErr w:type="gramEnd"/>
    </w:p>
    <w:p w:rsidR="00BE5EF8" w:rsidRPr="009D7699" w:rsidRDefault="00BE5EF8" w:rsidP="00016E67">
      <w:pPr>
        <w:spacing w:before="360" w:after="120" w:line="240" w:lineRule="auto"/>
        <w:rPr>
          <w:b/>
          <w:i w:val="0"/>
          <w:sz w:val="22"/>
          <w:szCs w:val="22"/>
        </w:rPr>
      </w:pPr>
      <w:r w:rsidRPr="009D7699">
        <w:rPr>
          <w:b/>
          <w:i w:val="0"/>
          <w:sz w:val="22"/>
          <w:szCs w:val="22"/>
        </w:rPr>
        <w:t>Our purpose</w:t>
      </w:r>
    </w:p>
    <w:p w:rsidR="00BE5EF8" w:rsidRPr="002F3BB0" w:rsidRDefault="00BE5EF8" w:rsidP="00016E67">
      <w:pPr>
        <w:spacing w:after="0" w:line="240" w:lineRule="auto"/>
        <w:rPr>
          <w:rFonts w:cstheme="minorHAnsi"/>
          <w:i w:val="0"/>
          <w:sz w:val="22"/>
          <w:szCs w:val="22"/>
        </w:rPr>
      </w:pPr>
      <w:proofErr w:type="gramStart"/>
      <w:r w:rsidRPr="002F3BB0">
        <w:rPr>
          <w:rFonts w:cstheme="minorHAnsi"/>
          <w:i w:val="0"/>
          <w:sz w:val="22"/>
          <w:szCs w:val="22"/>
        </w:rPr>
        <w:t>To strengthen the understanding, promotion and protection of human rights in Queensland.</w:t>
      </w:r>
      <w:proofErr w:type="gramEnd"/>
    </w:p>
    <w:p w:rsidR="0071372B" w:rsidRPr="009D7699" w:rsidRDefault="0071372B" w:rsidP="00016E67">
      <w:pPr>
        <w:spacing w:before="360" w:after="120" w:line="240" w:lineRule="auto"/>
        <w:rPr>
          <w:b/>
          <w:i w:val="0"/>
          <w:sz w:val="22"/>
          <w:szCs w:val="22"/>
        </w:rPr>
      </w:pPr>
      <w:r w:rsidRPr="009D7699">
        <w:rPr>
          <w:b/>
          <w:i w:val="0"/>
          <w:sz w:val="22"/>
          <w:szCs w:val="22"/>
        </w:rPr>
        <w:t>Our values</w:t>
      </w:r>
    </w:p>
    <w:p w:rsidR="00AF169B" w:rsidRDefault="00AF169B" w:rsidP="00D32A66">
      <w:pPr>
        <w:spacing w:before="120" w:after="120" w:line="240" w:lineRule="auto"/>
        <w:rPr>
          <w:rFonts w:ascii="Arial" w:hAnsi="Arial" w:cs="Arial"/>
          <w:i w:val="0"/>
          <w:color w:val="000000"/>
          <w:sz w:val="22"/>
          <w:szCs w:val="22"/>
        </w:rPr>
      </w:pPr>
      <w:r w:rsidRPr="002F3BB0">
        <w:rPr>
          <w:rFonts w:ascii="Arial" w:hAnsi="Arial" w:cs="Arial"/>
          <w:i w:val="0"/>
          <w:color w:val="000000"/>
          <w:sz w:val="22"/>
          <w:szCs w:val="22"/>
        </w:rPr>
        <w:t>The work of the Commission is guided by our commitment to the following values:</w:t>
      </w:r>
    </w:p>
    <w:p w:rsidR="00154A4D" w:rsidRPr="002F3BB0" w:rsidRDefault="00154A4D" w:rsidP="00D32A66">
      <w:pPr>
        <w:spacing w:before="120" w:after="120" w:line="240" w:lineRule="auto"/>
        <w:rPr>
          <w:rFonts w:ascii="Arial" w:hAnsi="Arial" w:cs="Arial"/>
          <w:i w:val="0"/>
          <w:color w:val="000000"/>
          <w:sz w:val="22"/>
          <w:szCs w:val="22"/>
        </w:rPr>
      </w:pPr>
    </w:p>
    <w:p w:rsidR="00AF169B" w:rsidRPr="002F3BB0" w:rsidRDefault="002E182C" w:rsidP="002E182C">
      <w:pPr>
        <w:spacing w:before="120" w:after="0" w:line="240" w:lineRule="auto"/>
        <w:ind w:left="714"/>
        <w:rPr>
          <w:rFonts w:ascii="Arial" w:hAnsi="Arial" w:cs="Arial"/>
          <w:i w:val="0"/>
          <w:color w:val="000000"/>
          <w:sz w:val="22"/>
          <w:szCs w:val="22"/>
        </w:rPr>
      </w:pPr>
      <w:r w:rsidRPr="0033232F">
        <w:rPr>
          <w:rFonts w:ascii="Arial" w:hAnsi="Arial" w:cs="Arial"/>
          <w:i w:val="0"/>
          <w:noProof/>
          <w:color w:val="000000"/>
          <w:sz w:val="22"/>
          <w:szCs w:val="22"/>
          <w:lang w:eastAsia="en-AU"/>
        </w:rPr>
        <mc:AlternateContent>
          <mc:Choice Requires="wps">
            <w:drawing>
              <wp:anchor distT="0" distB="0" distL="114300" distR="114300" simplePos="0" relativeHeight="251718656" behindDoc="0" locked="0" layoutInCell="1" allowOverlap="1" wp14:anchorId="3A92F73D" wp14:editId="3323B39B">
                <wp:simplePos x="0" y="0"/>
                <wp:positionH relativeFrom="column">
                  <wp:posOffset>342265</wp:posOffset>
                </wp:positionH>
                <wp:positionV relativeFrom="paragraph">
                  <wp:posOffset>34925</wp:posOffset>
                </wp:positionV>
                <wp:extent cx="3743325" cy="46196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619625"/>
                        </a:xfrm>
                        <a:prstGeom prst="rect">
                          <a:avLst/>
                        </a:prstGeom>
                        <a:noFill/>
                        <a:ln w="9525">
                          <a:noFill/>
                          <a:miter lim="800000"/>
                          <a:headEnd/>
                          <a:tailEnd/>
                        </a:ln>
                      </wps:spPr>
                      <wps:txbx>
                        <w:txbxContent>
                          <w:p w:rsidR="007447D3" w:rsidRPr="0033232F" w:rsidRDefault="007447D3" w:rsidP="002E182C">
                            <w:pPr>
                              <w:pStyle w:val="ListParagraph"/>
                              <w:numPr>
                                <w:ilvl w:val="0"/>
                                <w:numId w:val="43"/>
                              </w:numPr>
                              <w:spacing w:after="0" w:line="276" w:lineRule="auto"/>
                              <w:ind w:left="283" w:hanging="215"/>
                              <w:rPr>
                                <w:sz w:val="22"/>
                                <w:szCs w:val="22"/>
                              </w:rPr>
                            </w:pPr>
                            <w:r w:rsidRPr="0033232F">
                              <w:rPr>
                                <w:sz w:val="22"/>
                                <w:szCs w:val="22"/>
                              </w:rPr>
                              <w:t>Know your customers.</w:t>
                            </w:r>
                          </w:p>
                          <w:p w:rsidR="007447D3" w:rsidRPr="0033232F" w:rsidRDefault="007447D3" w:rsidP="002E182C">
                            <w:pPr>
                              <w:pStyle w:val="ListParagraph"/>
                              <w:numPr>
                                <w:ilvl w:val="0"/>
                                <w:numId w:val="43"/>
                              </w:numPr>
                              <w:spacing w:after="0" w:line="276" w:lineRule="auto"/>
                              <w:ind w:left="283" w:hanging="215"/>
                              <w:rPr>
                                <w:sz w:val="22"/>
                                <w:szCs w:val="22"/>
                              </w:rPr>
                            </w:pPr>
                            <w:r w:rsidRPr="0033232F">
                              <w:rPr>
                                <w:sz w:val="22"/>
                                <w:szCs w:val="22"/>
                              </w:rPr>
                              <w:t>Deliver what matters</w:t>
                            </w:r>
                            <w:r>
                              <w:rPr>
                                <w:sz w:val="22"/>
                                <w:szCs w:val="22"/>
                              </w:rPr>
                              <w:t>.</w:t>
                            </w:r>
                          </w:p>
                          <w:p w:rsidR="007447D3" w:rsidRPr="0033232F" w:rsidRDefault="007447D3" w:rsidP="002E182C">
                            <w:pPr>
                              <w:pStyle w:val="ListParagraph"/>
                              <w:numPr>
                                <w:ilvl w:val="0"/>
                                <w:numId w:val="43"/>
                              </w:numPr>
                              <w:spacing w:after="0" w:line="276" w:lineRule="auto"/>
                              <w:ind w:left="283" w:hanging="215"/>
                              <w:rPr>
                                <w:sz w:val="22"/>
                                <w:szCs w:val="22"/>
                              </w:rPr>
                            </w:pPr>
                            <w:r w:rsidRPr="0033232F">
                              <w:rPr>
                                <w:sz w:val="22"/>
                                <w:szCs w:val="22"/>
                              </w:rPr>
                              <w:t>Make decisions with empathy.</w:t>
                            </w:r>
                          </w:p>
                          <w:p w:rsidR="007447D3" w:rsidRDefault="007447D3" w:rsidP="002E182C">
                            <w:pPr>
                              <w:spacing w:after="0" w:line="276" w:lineRule="auto"/>
                              <w:rPr>
                                <w:sz w:val="22"/>
                                <w:szCs w:val="22"/>
                              </w:rPr>
                            </w:pPr>
                          </w:p>
                          <w:p w:rsidR="007447D3" w:rsidRDefault="007447D3" w:rsidP="002E182C">
                            <w:pPr>
                              <w:pStyle w:val="ListParagraph"/>
                              <w:spacing w:after="0" w:line="276" w:lineRule="auto"/>
                              <w:ind w:left="283"/>
                              <w:rPr>
                                <w:sz w:val="22"/>
                                <w:szCs w:val="22"/>
                              </w:rPr>
                            </w:pPr>
                          </w:p>
                          <w:p w:rsidR="007447D3" w:rsidRDefault="007447D3" w:rsidP="002E182C">
                            <w:pPr>
                              <w:pStyle w:val="ListParagraph"/>
                              <w:numPr>
                                <w:ilvl w:val="0"/>
                                <w:numId w:val="43"/>
                              </w:numPr>
                              <w:spacing w:after="0" w:line="276" w:lineRule="auto"/>
                              <w:ind w:left="283" w:hanging="215"/>
                              <w:rPr>
                                <w:sz w:val="22"/>
                                <w:szCs w:val="22"/>
                              </w:rPr>
                            </w:pPr>
                            <w:r>
                              <w:rPr>
                                <w:sz w:val="22"/>
                                <w:szCs w:val="22"/>
                              </w:rPr>
                              <w:t>Challenge the norm and suggest solutions.</w:t>
                            </w:r>
                          </w:p>
                          <w:p w:rsidR="007447D3" w:rsidRDefault="007447D3" w:rsidP="002E182C">
                            <w:pPr>
                              <w:pStyle w:val="ListParagraph"/>
                              <w:numPr>
                                <w:ilvl w:val="0"/>
                                <w:numId w:val="43"/>
                              </w:numPr>
                              <w:spacing w:after="0" w:line="276" w:lineRule="auto"/>
                              <w:ind w:left="283" w:hanging="215"/>
                              <w:rPr>
                                <w:sz w:val="22"/>
                                <w:szCs w:val="22"/>
                              </w:rPr>
                            </w:pPr>
                            <w:r>
                              <w:rPr>
                                <w:sz w:val="22"/>
                                <w:szCs w:val="22"/>
                              </w:rPr>
                              <w:t>Encourage and embrace new ideas.</w:t>
                            </w:r>
                          </w:p>
                          <w:p w:rsidR="007447D3" w:rsidRPr="0033232F" w:rsidRDefault="007447D3" w:rsidP="002E182C">
                            <w:pPr>
                              <w:pStyle w:val="ListParagraph"/>
                              <w:numPr>
                                <w:ilvl w:val="0"/>
                                <w:numId w:val="43"/>
                              </w:numPr>
                              <w:spacing w:after="0" w:line="276" w:lineRule="auto"/>
                              <w:ind w:left="283" w:hanging="215"/>
                              <w:rPr>
                                <w:sz w:val="22"/>
                                <w:szCs w:val="22"/>
                              </w:rPr>
                            </w:pPr>
                            <w:r w:rsidRPr="0033232F">
                              <w:rPr>
                                <w:sz w:val="22"/>
                                <w:szCs w:val="22"/>
                              </w:rPr>
                              <w:t>Work across boundaries</w:t>
                            </w:r>
                            <w:r>
                              <w:rPr>
                                <w:sz w:val="22"/>
                                <w:szCs w:val="22"/>
                              </w:rPr>
                              <w:t>.</w:t>
                            </w:r>
                          </w:p>
                          <w:p w:rsidR="007447D3" w:rsidRDefault="007447D3" w:rsidP="002E182C">
                            <w:pPr>
                              <w:spacing w:after="0" w:line="276" w:lineRule="auto"/>
                              <w:rPr>
                                <w:sz w:val="22"/>
                                <w:szCs w:val="22"/>
                              </w:rPr>
                            </w:pPr>
                          </w:p>
                          <w:p w:rsidR="007447D3" w:rsidRDefault="007447D3" w:rsidP="002E182C">
                            <w:pPr>
                              <w:spacing w:after="0" w:line="276" w:lineRule="auto"/>
                              <w:rPr>
                                <w:sz w:val="22"/>
                                <w:szCs w:val="22"/>
                              </w:rPr>
                            </w:pPr>
                          </w:p>
                          <w:p w:rsidR="007447D3" w:rsidRDefault="007447D3" w:rsidP="002E182C">
                            <w:pPr>
                              <w:pStyle w:val="ListParagraph"/>
                              <w:numPr>
                                <w:ilvl w:val="0"/>
                                <w:numId w:val="43"/>
                              </w:numPr>
                              <w:spacing w:after="0" w:line="276" w:lineRule="auto"/>
                              <w:ind w:left="283" w:hanging="215"/>
                              <w:rPr>
                                <w:sz w:val="22"/>
                                <w:szCs w:val="22"/>
                              </w:rPr>
                            </w:pPr>
                            <w:r>
                              <w:rPr>
                                <w:sz w:val="22"/>
                                <w:szCs w:val="22"/>
                              </w:rPr>
                              <w:t>Expect greatness.</w:t>
                            </w:r>
                          </w:p>
                          <w:p w:rsidR="007447D3" w:rsidRDefault="007447D3" w:rsidP="002E182C">
                            <w:pPr>
                              <w:pStyle w:val="ListParagraph"/>
                              <w:numPr>
                                <w:ilvl w:val="0"/>
                                <w:numId w:val="43"/>
                              </w:numPr>
                              <w:spacing w:after="0" w:line="276" w:lineRule="auto"/>
                              <w:ind w:left="283" w:hanging="215"/>
                              <w:rPr>
                                <w:sz w:val="22"/>
                                <w:szCs w:val="22"/>
                              </w:rPr>
                            </w:pPr>
                            <w:r>
                              <w:rPr>
                                <w:sz w:val="22"/>
                                <w:szCs w:val="22"/>
                              </w:rPr>
                              <w:t>Lead and set clear expectations.</w:t>
                            </w:r>
                          </w:p>
                          <w:p w:rsidR="007447D3" w:rsidRPr="0033232F" w:rsidRDefault="007447D3" w:rsidP="002E182C">
                            <w:pPr>
                              <w:pStyle w:val="ListParagraph"/>
                              <w:numPr>
                                <w:ilvl w:val="0"/>
                                <w:numId w:val="43"/>
                              </w:numPr>
                              <w:spacing w:after="0" w:line="276" w:lineRule="auto"/>
                              <w:ind w:left="283" w:hanging="215"/>
                              <w:rPr>
                                <w:sz w:val="22"/>
                                <w:szCs w:val="22"/>
                              </w:rPr>
                            </w:pPr>
                            <w:r w:rsidRPr="0033232F">
                              <w:rPr>
                                <w:sz w:val="22"/>
                                <w:szCs w:val="22"/>
                              </w:rPr>
                              <w:t>Seek, provide and act on feedback.</w:t>
                            </w:r>
                          </w:p>
                          <w:p w:rsidR="007447D3" w:rsidRDefault="007447D3" w:rsidP="002E182C">
                            <w:pPr>
                              <w:spacing w:after="0" w:line="276" w:lineRule="auto"/>
                              <w:rPr>
                                <w:sz w:val="22"/>
                                <w:szCs w:val="22"/>
                              </w:rPr>
                            </w:pPr>
                          </w:p>
                          <w:p w:rsidR="007447D3" w:rsidRDefault="007447D3" w:rsidP="002E182C">
                            <w:pPr>
                              <w:pStyle w:val="ListParagraph"/>
                              <w:spacing w:after="0" w:line="276" w:lineRule="auto"/>
                              <w:ind w:left="283"/>
                              <w:rPr>
                                <w:sz w:val="22"/>
                                <w:szCs w:val="22"/>
                              </w:rPr>
                            </w:pPr>
                          </w:p>
                          <w:p w:rsidR="007447D3" w:rsidRDefault="007447D3" w:rsidP="002E182C">
                            <w:pPr>
                              <w:pStyle w:val="ListParagraph"/>
                              <w:numPr>
                                <w:ilvl w:val="0"/>
                                <w:numId w:val="43"/>
                              </w:numPr>
                              <w:spacing w:after="0" w:line="276" w:lineRule="auto"/>
                              <w:ind w:left="283" w:hanging="215"/>
                              <w:rPr>
                                <w:sz w:val="22"/>
                                <w:szCs w:val="22"/>
                              </w:rPr>
                            </w:pPr>
                            <w:r>
                              <w:rPr>
                                <w:sz w:val="22"/>
                                <w:szCs w:val="22"/>
                              </w:rPr>
                              <w:t>Own your actions, successes and mistakes.</w:t>
                            </w:r>
                          </w:p>
                          <w:p w:rsidR="007447D3" w:rsidRDefault="007447D3" w:rsidP="002E182C">
                            <w:pPr>
                              <w:pStyle w:val="ListParagraph"/>
                              <w:numPr>
                                <w:ilvl w:val="0"/>
                                <w:numId w:val="43"/>
                              </w:numPr>
                              <w:spacing w:after="0" w:line="276" w:lineRule="auto"/>
                              <w:ind w:left="283" w:hanging="215"/>
                              <w:rPr>
                                <w:sz w:val="22"/>
                                <w:szCs w:val="22"/>
                              </w:rPr>
                            </w:pPr>
                            <w:r>
                              <w:rPr>
                                <w:sz w:val="22"/>
                                <w:szCs w:val="22"/>
                              </w:rPr>
                              <w:t>Take calculated risks.</w:t>
                            </w:r>
                          </w:p>
                          <w:p w:rsidR="007447D3" w:rsidRDefault="007447D3" w:rsidP="002E182C">
                            <w:pPr>
                              <w:pStyle w:val="ListParagraph"/>
                              <w:numPr>
                                <w:ilvl w:val="0"/>
                                <w:numId w:val="43"/>
                              </w:numPr>
                              <w:spacing w:after="0" w:line="276" w:lineRule="auto"/>
                              <w:ind w:left="283" w:hanging="215"/>
                              <w:rPr>
                                <w:sz w:val="22"/>
                                <w:szCs w:val="22"/>
                              </w:rPr>
                            </w:pPr>
                            <w:r w:rsidRPr="0033232F">
                              <w:rPr>
                                <w:sz w:val="22"/>
                                <w:szCs w:val="22"/>
                              </w:rPr>
                              <w:t>Act with transparency.</w:t>
                            </w:r>
                          </w:p>
                          <w:p w:rsidR="007447D3" w:rsidRDefault="007447D3" w:rsidP="002E182C">
                            <w:pPr>
                              <w:spacing w:after="0" w:line="276" w:lineRule="auto"/>
                              <w:rPr>
                                <w:sz w:val="22"/>
                                <w:szCs w:val="22"/>
                              </w:rPr>
                            </w:pPr>
                          </w:p>
                          <w:p w:rsidR="007447D3" w:rsidRDefault="007447D3" w:rsidP="002E182C">
                            <w:pPr>
                              <w:spacing w:after="0" w:line="276" w:lineRule="auto"/>
                              <w:rPr>
                                <w:sz w:val="22"/>
                                <w:szCs w:val="22"/>
                              </w:rPr>
                            </w:pPr>
                          </w:p>
                          <w:p w:rsidR="007447D3" w:rsidRDefault="007447D3" w:rsidP="002E182C">
                            <w:pPr>
                              <w:pStyle w:val="ListParagraph"/>
                              <w:numPr>
                                <w:ilvl w:val="0"/>
                                <w:numId w:val="43"/>
                              </w:numPr>
                              <w:spacing w:after="0" w:line="276" w:lineRule="auto"/>
                              <w:ind w:left="283" w:hanging="215"/>
                              <w:rPr>
                                <w:sz w:val="22"/>
                                <w:szCs w:val="22"/>
                              </w:rPr>
                            </w:pPr>
                            <w:r>
                              <w:rPr>
                                <w:sz w:val="22"/>
                                <w:szCs w:val="22"/>
                              </w:rPr>
                              <w:t>Lead, empower and trust.</w:t>
                            </w:r>
                          </w:p>
                          <w:p w:rsidR="007447D3" w:rsidRDefault="007447D3" w:rsidP="002E182C">
                            <w:pPr>
                              <w:pStyle w:val="ListParagraph"/>
                              <w:numPr>
                                <w:ilvl w:val="0"/>
                                <w:numId w:val="43"/>
                              </w:numPr>
                              <w:spacing w:after="0" w:line="276" w:lineRule="auto"/>
                              <w:ind w:left="283" w:hanging="215"/>
                              <w:rPr>
                                <w:sz w:val="22"/>
                                <w:szCs w:val="22"/>
                              </w:rPr>
                            </w:pPr>
                            <w:r>
                              <w:rPr>
                                <w:sz w:val="22"/>
                                <w:szCs w:val="22"/>
                              </w:rPr>
                              <w:t>Play to everyone’s strengths.</w:t>
                            </w:r>
                          </w:p>
                          <w:p w:rsidR="007447D3" w:rsidRPr="0033232F" w:rsidRDefault="007447D3" w:rsidP="002E182C">
                            <w:pPr>
                              <w:pStyle w:val="ListParagraph"/>
                              <w:numPr>
                                <w:ilvl w:val="0"/>
                                <w:numId w:val="43"/>
                              </w:numPr>
                              <w:spacing w:after="0" w:line="276" w:lineRule="auto"/>
                              <w:ind w:left="283" w:hanging="215"/>
                              <w:rPr>
                                <w:sz w:val="22"/>
                                <w:szCs w:val="22"/>
                              </w:rPr>
                            </w:pPr>
                            <w:r>
                              <w:rPr>
                                <w:sz w:val="22"/>
                                <w:szCs w:val="22"/>
                              </w:rPr>
                              <w:t>Develop yourself and those around you</w:t>
                            </w:r>
                            <w:r w:rsidRPr="0033232F">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6.95pt;margin-top:2.75pt;width:294.75pt;height:36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" filled="f" stroked="f">
                <v:textbox>
                  <w:txbxContent>
                    <w:p w:rsidR="007447D3" w:rsidRPr="0033232F" w:rsidRDefault="007447D3" w:rsidP="002E182C">
                      <w:pPr>
                        <w:pStyle w:val="ListParagraph"/>
                        <w:numPr>
                          <w:ilvl w:val="0"/>
                          <w:numId w:val="43"/>
                        </w:numPr>
                        <w:spacing w:after="0" w:line="276" w:lineRule="auto"/>
                        <w:ind w:left="283" w:hanging="215"/>
                        <w:rPr>
                          <w:sz w:val="22"/>
                          <w:szCs w:val="22"/>
                        </w:rPr>
                      </w:pPr>
                      <w:r w:rsidRPr="0033232F">
                        <w:rPr>
                          <w:sz w:val="22"/>
                          <w:szCs w:val="22"/>
                        </w:rPr>
                        <w:t>Know your customers.</w:t>
                      </w:r>
                    </w:p>
                    <w:p w:rsidR="007447D3" w:rsidRPr="0033232F" w:rsidRDefault="007447D3" w:rsidP="002E182C">
                      <w:pPr>
                        <w:pStyle w:val="ListParagraph"/>
                        <w:numPr>
                          <w:ilvl w:val="0"/>
                          <w:numId w:val="43"/>
                        </w:numPr>
                        <w:spacing w:after="0" w:line="276" w:lineRule="auto"/>
                        <w:ind w:left="283" w:hanging="215"/>
                        <w:rPr>
                          <w:sz w:val="22"/>
                          <w:szCs w:val="22"/>
                        </w:rPr>
                      </w:pPr>
                      <w:r w:rsidRPr="0033232F">
                        <w:rPr>
                          <w:sz w:val="22"/>
                          <w:szCs w:val="22"/>
                        </w:rPr>
                        <w:t>Deliver what matters</w:t>
                      </w:r>
                      <w:r>
                        <w:rPr>
                          <w:sz w:val="22"/>
                          <w:szCs w:val="22"/>
                        </w:rPr>
                        <w:t>.</w:t>
                      </w:r>
                    </w:p>
                    <w:p w:rsidR="007447D3" w:rsidRPr="0033232F" w:rsidRDefault="007447D3" w:rsidP="002E182C">
                      <w:pPr>
                        <w:pStyle w:val="ListParagraph"/>
                        <w:numPr>
                          <w:ilvl w:val="0"/>
                          <w:numId w:val="43"/>
                        </w:numPr>
                        <w:spacing w:after="0" w:line="276" w:lineRule="auto"/>
                        <w:ind w:left="283" w:hanging="215"/>
                        <w:rPr>
                          <w:sz w:val="22"/>
                          <w:szCs w:val="22"/>
                        </w:rPr>
                      </w:pPr>
                      <w:r w:rsidRPr="0033232F">
                        <w:rPr>
                          <w:sz w:val="22"/>
                          <w:szCs w:val="22"/>
                        </w:rPr>
                        <w:t>Make decisions with empathy.</w:t>
                      </w:r>
                    </w:p>
                    <w:p w:rsidR="007447D3" w:rsidRDefault="007447D3" w:rsidP="002E182C">
                      <w:pPr>
                        <w:spacing w:after="0" w:line="276" w:lineRule="auto"/>
                        <w:rPr>
                          <w:sz w:val="22"/>
                          <w:szCs w:val="22"/>
                        </w:rPr>
                      </w:pPr>
                    </w:p>
                    <w:p w:rsidR="007447D3" w:rsidRDefault="007447D3" w:rsidP="002E182C">
                      <w:pPr>
                        <w:pStyle w:val="ListParagraph"/>
                        <w:spacing w:after="0" w:line="276" w:lineRule="auto"/>
                        <w:ind w:left="283"/>
                        <w:rPr>
                          <w:sz w:val="22"/>
                          <w:szCs w:val="22"/>
                        </w:rPr>
                      </w:pPr>
                    </w:p>
                    <w:p w:rsidR="007447D3" w:rsidRDefault="007447D3" w:rsidP="002E182C">
                      <w:pPr>
                        <w:pStyle w:val="ListParagraph"/>
                        <w:numPr>
                          <w:ilvl w:val="0"/>
                          <w:numId w:val="43"/>
                        </w:numPr>
                        <w:spacing w:after="0" w:line="276" w:lineRule="auto"/>
                        <w:ind w:left="283" w:hanging="215"/>
                        <w:rPr>
                          <w:sz w:val="22"/>
                          <w:szCs w:val="22"/>
                        </w:rPr>
                      </w:pPr>
                      <w:r>
                        <w:rPr>
                          <w:sz w:val="22"/>
                          <w:szCs w:val="22"/>
                        </w:rPr>
                        <w:t>Challenge the norm and suggest solutions.</w:t>
                      </w:r>
                    </w:p>
                    <w:p w:rsidR="007447D3" w:rsidRDefault="007447D3" w:rsidP="002E182C">
                      <w:pPr>
                        <w:pStyle w:val="ListParagraph"/>
                        <w:numPr>
                          <w:ilvl w:val="0"/>
                          <w:numId w:val="43"/>
                        </w:numPr>
                        <w:spacing w:after="0" w:line="276" w:lineRule="auto"/>
                        <w:ind w:left="283" w:hanging="215"/>
                        <w:rPr>
                          <w:sz w:val="22"/>
                          <w:szCs w:val="22"/>
                        </w:rPr>
                      </w:pPr>
                      <w:r>
                        <w:rPr>
                          <w:sz w:val="22"/>
                          <w:szCs w:val="22"/>
                        </w:rPr>
                        <w:t>Encourage and embrace new ideas.</w:t>
                      </w:r>
                    </w:p>
                    <w:p w:rsidR="007447D3" w:rsidRPr="0033232F" w:rsidRDefault="007447D3" w:rsidP="002E182C">
                      <w:pPr>
                        <w:pStyle w:val="ListParagraph"/>
                        <w:numPr>
                          <w:ilvl w:val="0"/>
                          <w:numId w:val="43"/>
                        </w:numPr>
                        <w:spacing w:after="0" w:line="276" w:lineRule="auto"/>
                        <w:ind w:left="283" w:hanging="215"/>
                        <w:rPr>
                          <w:sz w:val="22"/>
                          <w:szCs w:val="22"/>
                        </w:rPr>
                      </w:pPr>
                      <w:r w:rsidRPr="0033232F">
                        <w:rPr>
                          <w:sz w:val="22"/>
                          <w:szCs w:val="22"/>
                        </w:rPr>
                        <w:t>Work across boundaries</w:t>
                      </w:r>
                      <w:r>
                        <w:rPr>
                          <w:sz w:val="22"/>
                          <w:szCs w:val="22"/>
                        </w:rPr>
                        <w:t>.</w:t>
                      </w:r>
                    </w:p>
                    <w:p w:rsidR="007447D3" w:rsidRDefault="007447D3" w:rsidP="002E182C">
                      <w:pPr>
                        <w:spacing w:after="0" w:line="276" w:lineRule="auto"/>
                        <w:rPr>
                          <w:sz w:val="22"/>
                          <w:szCs w:val="22"/>
                        </w:rPr>
                      </w:pPr>
                    </w:p>
                    <w:p w:rsidR="007447D3" w:rsidRDefault="007447D3" w:rsidP="002E182C">
                      <w:pPr>
                        <w:spacing w:after="0" w:line="276" w:lineRule="auto"/>
                        <w:rPr>
                          <w:sz w:val="22"/>
                          <w:szCs w:val="22"/>
                        </w:rPr>
                      </w:pPr>
                    </w:p>
                    <w:p w:rsidR="007447D3" w:rsidRDefault="007447D3" w:rsidP="002E182C">
                      <w:pPr>
                        <w:pStyle w:val="ListParagraph"/>
                        <w:numPr>
                          <w:ilvl w:val="0"/>
                          <w:numId w:val="43"/>
                        </w:numPr>
                        <w:spacing w:after="0" w:line="276" w:lineRule="auto"/>
                        <w:ind w:left="283" w:hanging="215"/>
                        <w:rPr>
                          <w:sz w:val="22"/>
                          <w:szCs w:val="22"/>
                        </w:rPr>
                      </w:pPr>
                      <w:r>
                        <w:rPr>
                          <w:sz w:val="22"/>
                          <w:szCs w:val="22"/>
                        </w:rPr>
                        <w:t>Expect greatness.</w:t>
                      </w:r>
                    </w:p>
                    <w:p w:rsidR="007447D3" w:rsidRDefault="007447D3" w:rsidP="002E182C">
                      <w:pPr>
                        <w:pStyle w:val="ListParagraph"/>
                        <w:numPr>
                          <w:ilvl w:val="0"/>
                          <w:numId w:val="43"/>
                        </w:numPr>
                        <w:spacing w:after="0" w:line="276" w:lineRule="auto"/>
                        <w:ind w:left="283" w:hanging="215"/>
                        <w:rPr>
                          <w:sz w:val="22"/>
                          <w:szCs w:val="22"/>
                        </w:rPr>
                      </w:pPr>
                      <w:r>
                        <w:rPr>
                          <w:sz w:val="22"/>
                          <w:szCs w:val="22"/>
                        </w:rPr>
                        <w:t>Lead and set clear expectations.</w:t>
                      </w:r>
                    </w:p>
                    <w:p w:rsidR="007447D3" w:rsidRPr="0033232F" w:rsidRDefault="007447D3" w:rsidP="002E182C">
                      <w:pPr>
                        <w:pStyle w:val="ListParagraph"/>
                        <w:numPr>
                          <w:ilvl w:val="0"/>
                          <w:numId w:val="43"/>
                        </w:numPr>
                        <w:spacing w:after="0" w:line="276" w:lineRule="auto"/>
                        <w:ind w:left="283" w:hanging="215"/>
                        <w:rPr>
                          <w:sz w:val="22"/>
                          <w:szCs w:val="22"/>
                        </w:rPr>
                      </w:pPr>
                      <w:r w:rsidRPr="0033232F">
                        <w:rPr>
                          <w:sz w:val="22"/>
                          <w:szCs w:val="22"/>
                        </w:rPr>
                        <w:t>Seek, provide and act on feedback.</w:t>
                      </w:r>
                    </w:p>
                    <w:p w:rsidR="007447D3" w:rsidRDefault="007447D3" w:rsidP="002E182C">
                      <w:pPr>
                        <w:spacing w:after="0" w:line="276" w:lineRule="auto"/>
                        <w:rPr>
                          <w:sz w:val="22"/>
                          <w:szCs w:val="22"/>
                        </w:rPr>
                      </w:pPr>
                    </w:p>
                    <w:p w:rsidR="007447D3" w:rsidRDefault="007447D3" w:rsidP="002E182C">
                      <w:pPr>
                        <w:pStyle w:val="ListParagraph"/>
                        <w:spacing w:after="0" w:line="276" w:lineRule="auto"/>
                        <w:ind w:left="283"/>
                        <w:rPr>
                          <w:sz w:val="22"/>
                          <w:szCs w:val="22"/>
                        </w:rPr>
                      </w:pPr>
                    </w:p>
                    <w:p w:rsidR="007447D3" w:rsidRDefault="007447D3" w:rsidP="002E182C">
                      <w:pPr>
                        <w:pStyle w:val="ListParagraph"/>
                        <w:numPr>
                          <w:ilvl w:val="0"/>
                          <w:numId w:val="43"/>
                        </w:numPr>
                        <w:spacing w:after="0" w:line="276" w:lineRule="auto"/>
                        <w:ind w:left="283" w:hanging="215"/>
                        <w:rPr>
                          <w:sz w:val="22"/>
                          <w:szCs w:val="22"/>
                        </w:rPr>
                      </w:pPr>
                      <w:r>
                        <w:rPr>
                          <w:sz w:val="22"/>
                          <w:szCs w:val="22"/>
                        </w:rPr>
                        <w:t>Own your actions, successes and mistakes.</w:t>
                      </w:r>
                    </w:p>
                    <w:p w:rsidR="007447D3" w:rsidRDefault="007447D3" w:rsidP="002E182C">
                      <w:pPr>
                        <w:pStyle w:val="ListParagraph"/>
                        <w:numPr>
                          <w:ilvl w:val="0"/>
                          <w:numId w:val="43"/>
                        </w:numPr>
                        <w:spacing w:after="0" w:line="276" w:lineRule="auto"/>
                        <w:ind w:left="283" w:hanging="215"/>
                        <w:rPr>
                          <w:sz w:val="22"/>
                          <w:szCs w:val="22"/>
                        </w:rPr>
                      </w:pPr>
                      <w:r>
                        <w:rPr>
                          <w:sz w:val="22"/>
                          <w:szCs w:val="22"/>
                        </w:rPr>
                        <w:t>Take calculated risks.</w:t>
                      </w:r>
                    </w:p>
                    <w:p w:rsidR="007447D3" w:rsidRDefault="007447D3" w:rsidP="002E182C">
                      <w:pPr>
                        <w:pStyle w:val="ListParagraph"/>
                        <w:numPr>
                          <w:ilvl w:val="0"/>
                          <w:numId w:val="43"/>
                        </w:numPr>
                        <w:spacing w:after="0" w:line="276" w:lineRule="auto"/>
                        <w:ind w:left="283" w:hanging="215"/>
                        <w:rPr>
                          <w:sz w:val="22"/>
                          <w:szCs w:val="22"/>
                        </w:rPr>
                      </w:pPr>
                      <w:r w:rsidRPr="0033232F">
                        <w:rPr>
                          <w:sz w:val="22"/>
                          <w:szCs w:val="22"/>
                        </w:rPr>
                        <w:t>Act with transparency.</w:t>
                      </w:r>
                    </w:p>
                    <w:p w:rsidR="007447D3" w:rsidRDefault="007447D3" w:rsidP="002E182C">
                      <w:pPr>
                        <w:spacing w:after="0" w:line="276" w:lineRule="auto"/>
                        <w:rPr>
                          <w:sz w:val="22"/>
                          <w:szCs w:val="22"/>
                        </w:rPr>
                      </w:pPr>
                    </w:p>
                    <w:p w:rsidR="007447D3" w:rsidRDefault="007447D3" w:rsidP="002E182C">
                      <w:pPr>
                        <w:spacing w:after="0" w:line="276" w:lineRule="auto"/>
                        <w:rPr>
                          <w:sz w:val="22"/>
                          <w:szCs w:val="22"/>
                        </w:rPr>
                      </w:pPr>
                    </w:p>
                    <w:p w:rsidR="007447D3" w:rsidRDefault="007447D3" w:rsidP="002E182C">
                      <w:pPr>
                        <w:pStyle w:val="ListParagraph"/>
                        <w:numPr>
                          <w:ilvl w:val="0"/>
                          <w:numId w:val="43"/>
                        </w:numPr>
                        <w:spacing w:after="0" w:line="276" w:lineRule="auto"/>
                        <w:ind w:left="283" w:hanging="215"/>
                        <w:rPr>
                          <w:sz w:val="22"/>
                          <w:szCs w:val="22"/>
                        </w:rPr>
                      </w:pPr>
                      <w:r>
                        <w:rPr>
                          <w:sz w:val="22"/>
                          <w:szCs w:val="22"/>
                        </w:rPr>
                        <w:t>Lead, empower and trust.</w:t>
                      </w:r>
                    </w:p>
                    <w:p w:rsidR="007447D3" w:rsidRDefault="007447D3" w:rsidP="002E182C">
                      <w:pPr>
                        <w:pStyle w:val="ListParagraph"/>
                        <w:numPr>
                          <w:ilvl w:val="0"/>
                          <w:numId w:val="43"/>
                        </w:numPr>
                        <w:spacing w:after="0" w:line="276" w:lineRule="auto"/>
                        <w:ind w:left="283" w:hanging="215"/>
                        <w:rPr>
                          <w:sz w:val="22"/>
                          <w:szCs w:val="22"/>
                        </w:rPr>
                      </w:pPr>
                      <w:r>
                        <w:rPr>
                          <w:sz w:val="22"/>
                          <w:szCs w:val="22"/>
                        </w:rPr>
                        <w:t>Play to everyone’s strengths.</w:t>
                      </w:r>
                    </w:p>
                    <w:p w:rsidR="007447D3" w:rsidRPr="0033232F" w:rsidRDefault="007447D3" w:rsidP="002E182C">
                      <w:pPr>
                        <w:pStyle w:val="ListParagraph"/>
                        <w:numPr>
                          <w:ilvl w:val="0"/>
                          <w:numId w:val="43"/>
                        </w:numPr>
                        <w:spacing w:after="0" w:line="276" w:lineRule="auto"/>
                        <w:ind w:left="283" w:hanging="215"/>
                        <w:rPr>
                          <w:sz w:val="22"/>
                          <w:szCs w:val="22"/>
                        </w:rPr>
                      </w:pPr>
                      <w:r>
                        <w:rPr>
                          <w:sz w:val="22"/>
                          <w:szCs w:val="22"/>
                        </w:rPr>
                        <w:t>Develop yourself and those around you</w:t>
                      </w:r>
                      <w:r w:rsidRPr="0033232F">
                        <w:rPr>
                          <w:sz w:val="22"/>
                          <w:szCs w:val="22"/>
                        </w:rPr>
                        <w:t>.</w:t>
                      </w:r>
                    </w:p>
                  </w:txbxContent>
                </v:textbox>
              </v:shape>
            </w:pict>
          </mc:Fallback>
        </mc:AlternateContent>
      </w:r>
      <w:r w:rsidR="00AF169B" w:rsidRPr="002F3BB0">
        <w:rPr>
          <w:rFonts w:ascii="Arial" w:hAnsi="Arial" w:cs="Arial"/>
          <w:i w:val="0"/>
          <w:noProof/>
          <w:color w:val="000000"/>
          <w:sz w:val="22"/>
          <w:szCs w:val="22"/>
          <w:lang w:eastAsia="en-AU"/>
        </w:rPr>
        <mc:AlternateContent>
          <mc:Choice Requires="wps">
            <w:drawing>
              <wp:anchor distT="0" distB="0" distL="114300" distR="114300" simplePos="0" relativeHeight="251691008" behindDoc="0" locked="0" layoutInCell="1" allowOverlap="1" wp14:anchorId="7BAE0FFB" wp14:editId="5FA805BF">
                <wp:simplePos x="0" y="0"/>
                <wp:positionH relativeFrom="column">
                  <wp:posOffset>0</wp:posOffset>
                </wp:positionH>
                <wp:positionV relativeFrom="paragraph">
                  <wp:posOffset>34290</wp:posOffset>
                </wp:positionV>
                <wp:extent cx="1355090" cy="617220"/>
                <wp:effectExtent l="0" t="0" r="0" b="0"/>
                <wp:wrapSquare wrapText="bothSides"/>
                <wp:docPr id="10" name="AutoShap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617220"/>
                        </a:xfrm>
                        <a:prstGeom prst="flowChartAlternateProcess">
                          <a:avLst/>
                        </a:prstGeom>
                        <a:gradFill rotWithShape="0">
                          <a:gsLst>
                            <a:gs pos="0">
                              <a:srgbClr val="B2A1C7"/>
                            </a:gs>
                            <a:gs pos="50000">
                              <a:srgbClr val="E5DFEC"/>
                            </a:gs>
                            <a:gs pos="100000">
                              <a:srgbClr val="B2A1C7"/>
                            </a:gs>
                          </a:gsLst>
                          <a:lin ang="18900000" scaled="1"/>
                        </a:gradFill>
                        <a:ln w="12700" algn="ctr">
                          <a:solidFill>
                            <a:srgbClr val="B2A1C7"/>
                          </a:solidFill>
                          <a:miter lim="800000"/>
                          <a:headEnd/>
                          <a:tailEnd/>
                        </a:ln>
                        <a:effectLst>
                          <a:outerShdw dist="28398" dir="3806097" algn="ctr" rotWithShape="0">
                            <a:srgbClr val="3F3151">
                              <a:alpha val="50000"/>
                            </a:srgbClr>
                          </a:outerShdw>
                        </a:effectLst>
                      </wps:spPr>
                      <wps:txbx>
                        <w:txbxContent>
                          <w:p w:rsidR="007447D3" w:rsidRPr="00976A4B" w:rsidRDefault="007447D3" w:rsidP="00AF169B">
                            <w:pPr>
                              <w:jc w:val="center"/>
                              <w:rPr>
                                <w:rFonts w:ascii="Arial" w:hAnsi="Arial" w:cs="Arial"/>
                                <w:b/>
                                <w:color w:val="000000"/>
                                <w:sz w:val="2"/>
                                <w:szCs w:val="24"/>
                              </w:rPr>
                            </w:pPr>
                          </w:p>
                          <w:p w:rsidR="007447D3" w:rsidRDefault="007447D3" w:rsidP="00AF169B">
                            <w:pPr>
                              <w:jc w:val="center"/>
                              <w:rPr>
                                <w:rFonts w:ascii="Arial" w:hAnsi="Arial" w:cs="Arial"/>
                                <w:b/>
                                <w:color w:val="000000"/>
                                <w:szCs w:val="24"/>
                              </w:rPr>
                            </w:pPr>
                            <w:r w:rsidRPr="00726739">
                              <w:rPr>
                                <w:rFonts w:ascii="Arial" w:hAnsi="Arial" w:cs="Arial"/>
                                <w:b/>
                                <w:color w:val="000000"/>
                                <w:szCs w:val="24"/>
                              </w:rPr>
                              <w:t>C</w:t>
                            </w:r>
                            <w:r>
                              <w:rPr>
                                <w:rFonts w:ascii="Arial" w:hAnsi="Arial" w:cs="Arial"/>
                                <w:b/>
                                <w:color w:val="000000"/>
                                <w:szCs w:val="24"/>
                              </w:rPr>
                              <w:t>ustomers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25" o:spid="_x0000_s1030" type="#_x0000_t176" style="position:absolute;left:0;text-align:left;margin-left:0;margin-top:2.7pt;width:106.7pt;height:4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" fillcolor="#b2a1c7" strokecolor="#b2a1c7" strokeweight="1pt">
                <v:fill color2="#e5dfec" angle="135" focus="50%" type="gradient"/>
                <v:shadow on="t" color="#3f3151" opacity=".5" offset="1pt"/>
                <v:textbox>
                  <w:txbxContent>
                    <w:p w:rsidR="007447D3" w:rsidRPr="00976A4B" w:rsidRDefault="007447D3" w:rsidP="00AF169B">
                      <w:pPr>
                        <w:jc w:val="center"/>
                        <w:rPr>
                          <w:rFonts w:ascii="Arial" w:hAnsi="Arial" w:cs="Arial"/>
                          <w:b/>
                          <w:color w:val="000000"/>
                          <w:sz w:val="2"/>
                          <w:szCs w:val="24"/>
                        </w:rPr>
                      </w:pPr>
                    </w:p>
                    <w:p w:rsidR="007447D3" w:rsidRDefault="007447D3" w:rsidP="00AF169B">
                      <w:pPr>
                        <w:jc w:val="center"/>
                        <w:rPr>
                          <w:rFonts w:ascii="Arial" w:hAnsi="Arial" w:cs="Arial"/>
                          <w:b/>
                          <w:color w:val="000000"/>
                          <w:szCs w:val="24"/>
                        </w:rPr>
                      </w:pPr>
                      <w:r w:rsidRPr="00726739">
                        <w:rPr>
                          <w:rFonts w:ascii="Arial" w:hAnsi="Arial" w:cs="Arial"/>
                          <w:b/>
                          <w:color w:val="000000"/>
                          <w:szCs w:val="24"/>
                        </w:rPr>
                        <w:t>C</w:t>
                      </w:r>
                      <w:r>
                        <w:rPr>
                          <w:rFonts w:ascii="Arial" w:hAnsi="Arial" w:cs="Arial"/>
                          <w:b/>
                          <w:color w:val="000000"/>
                          <w:szCs w:val="24"/>
                        </w:rPr>
                        <w:t>ustomers first</w:t>
                      </w:r>
                    </w:p>
                  </w:txbxContent>
                </v:textbox>
                <w10:wrap type="square"/>
              </v:shape>
            </w:pict>
          </mc:Fallback>
        </mc:AlternateContent>
      </w:r>
    </w:p>
    <w:p w:rsidR="00AF169B" w:rsidRPr="002F3BB0" w:rsidRDefault="00AF169B" w:rsidP="002E182C">
      <w:pPr>
        <w:spacing w:before="120" w:after="0" w:line="240" w:lineRule="auto"/>
        <w:ind w:left="357"/>
        <w:rPr>
          <w:rFonts w:ascii="Arial" w:hAnsi="Arial" w:cs="Arial"/>
          <w:i w:val="0"/>
          <w:color w:val="000000"/>
          <w:sz w:val="22"/>
          <w:szCs w:val="22"/>
        </w:rPr>
      </w:pPr>
    </w:p>
    <w:p w:rsidR="00AF169B" w:rsidRPr="002F3BB0" w:rsidRDefault="00AF169B" w:rsidP="00AF169B">
      <w:pPr>
        <w:rPr>
          <w:rFonts w:ascii="Arial" w:hAnsi="Arial" w:cs="Arial"/>
          <w:i w:val="0"/>
          <w:color w:val="000000"/>
          <w:sz w:val="22"/>
          <w:szCs w:val="22"/>
        </w:rPr>
      </w:pPr>
    </w:p>
    <w:p w:rsidR="00AF169B" w:rsidRPr="002F3BB0" w:rsidRDefault="00AF169B" w:rsidP="002E182C">
      <w:pPr>
        <w:spacing w:before="120" w:after="0" w:line="240" w:lineRule="auto"/>
        <w:ind w:left="714"/>
        <w:rPr>
          <w:rFonts w:ascii="Arial" w:hAnsi="Arial" w:cs="Arial"/>
          <w:i w:val="0"/>
          <w:color w:val="000000"/>
          <w:sz w:val="22"/>
          <w:szCs w:val="22"/>
        </w:rPr>
      </w:pPr>
    </w:p>
    <w:p w:rsidR="00AF169B" w:rsidRPr="002F3BB0" w:rsidRDefault="002E182C" w:rsidP="00AF169B">
      <w:pPr>
        <w:spacing w:before="120"/>
        <w:rPr>
          <w:rFonts w:ascii="Arial" w:hAnsi="Arial" w:cs="Arial"/>
          <w:i w:val="0"/>
          <w:color w:val="000000"/>
          <w:sz w:val="22"/>
          <w:szCs w:val="22"/>
        </w:rPr>
      </w:pPr>
      <w:r w:rsidRPr="002F3BB0">
        <w:rPr>
          <w:rFonts w:ascii="Arial" w:hAnsi="Arial" w:cs="Arial"/>
          <w:i w:val="0"/>
          <w:noProof/>
          <w:color w:val="000000"/>
          <w:sz w:val="22"/>
          <w:szCs w:val="22"/>
          <w:lang w:eastAsia="en-AU"/>
        </w:rPr>
        <mc:AlternateContent>
          <mc:Choice Requires="wps">
            <w:drawing>
              <wp:anchor distT="0" distB="0" distL="114300" distR="114300" simplePos="0" relativeHeight="251693056" behindDoc="0" locked="0" layoutInCell="1" allowOverlap="1" wp14:anchorId="1B183133" wp14:editId="0A241F03">
                <wp:simplePos x="0" y="0"/>
                <wp:positionH relativeFrom="column">
                  <wp:posOffset>0</wp:posOffset>
                </wp:positionH>
                <wp:positionV relativeFrom="paragraph">
                  <wp:posOffset>149860</wp:posOffset>
                </wp:positionV>
                <wp:extent cx="1355090" cy="617220"/>
                <wp:effectExtent l="0" t="0" r="35560" b="49530"/>
                <wp:wrapSquare wrapText="bothSides"/>
                <wp:docPr id="4" name="AutoShape 1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617220"/>
                        </a:xfrm>
                        <a:prstGeom prst="flowChartAlternateProcess">
                          <a:avLst/>
                        </a:prstGeom>
                        <a:gradFill rotWithShape="0">
                          <a:gsLst>
                            <a:gs pos="0">
                              <a:srgbClr val="B2A1C7"/>
                            </a:gs>
                            <a:gs pos="50000">
                              <a:srgbClr val="E5DFEC"/>
                            </a:gs>
                            <a:gs pos="100000">
                              <a:srgbClr val="B2A1C7"/>
                            </a:gs>
                          </a:gsLst>
                          <a:lin ang="18900000" scaled="1"/>
                        </a:gradFill>
                        <a:ln w="12700" algn="ctr">
                          <a:solidFill>
                            <a:srgbClr val="B2A1C7"/>
                          </a:solidFill>
                          <a:miter lim="800000"/>
                          <a:headEnd/>
                          <a:tailEnd/>
                        </a:ln>
                        <a:effectLst>
                          <a:outerShdw dist="28398" dir="3806097" algn="ctr" rotWithShape="0">
                            <a:srgbClr val="3F3151">
                              <a:alpha val="50000"/>
                            </a:srgbClr>
                          </a:outerShdw>
                        </a:effectLst>
                      </wps:spPr>
                      <wps:txbx>
                        <w:txbxContent>
                          <w:p w:rsidR="007447D3" w:rsidRPr="00976A4B" w:rsidRDefault="007447D3" w:rsidP="00AF169B">
                            <w:pPr>
                              <w:jc w:val="center"/>
                              <w:rPr>
                                <w:rFonts w:ascii="Arial" w:hAnsi="Arial" w:cs="Arial"/>
                                <w:b/>
                                <w:color w:val="000000"/>
                                <w:sz w:val="2"/>
                                <w:szCs w:val="24"/>
                              </w:rPr>
                            </w:pPr>
                          </w:p>
                          <w:p w:rsidR="007447D3" w:rsidRPr="008752F2" w:rsidRDefault="007447D3" w:rsidP="00AF169B">
                            <w:pPr>
                              <w:jc w:val="center"/>
                              <w:rPr>
                                <w:rFonts w:ascii="Arial" w:hAnsi="Arial" w:cs="Arial"/>
                                <w:b/>
                                <w:color w:val="000000"/>
                                <w:szCs w:val="24"/>
                              </w:rPr>
                            </w:pPr>
                            <w:r>
                              <w:rPr>
                                <w:rFonts w:ascii="Arial" w:hAnsi="Arial" w:cs="Arial"/>
                                <w:b/>
                                <w:color w:val="000000"/>
                                <w:szCs w:val="24"/>
                              </w:rPr>
                              <w:t>Ideas into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1" o:spid="_x0000_s1031" type="#_x0000_t176" style="position:absolute;margin-left:0;margin-top:11.8pt;width:106.7pt;height:4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" fillcolor="#b2a1c7" strokecolor="#b2a1c7" strokeweight="1pt">
                <v:fill color2="#e5dfec" angle="135" focus="50%" type="gradient"/>
                <v:shadow on="t" color="#3f3151" opacity=".5" offset="1pt"/>
                <v:textbox>
                  <w:txbxContent>
                    <w:p w:rsidR="007447D3" w:rsidRPr="00976A4B" w:rsidRDefault="007447D3" w:rsidP="00AF169B">
                      <w:pPr>
                        <w:jc w:val="center"/>
                        <w:rPr>
                          <w:rFonts w:ascii="Arial" w:hAnsi="Arial" w:cs="Arial"/>
                          <w:b/>
                          <w:color w:val="000000"/>
                          <w:sz w:val="2"/>
                          <w:szCs w:val="24"/>
                        </w:rPr>
                      </w:pPr>
                    </w:p>
                    <w:p w:rsidR="007447D3" w:rsidRPr="008752F2" w:rsidRDefault="007447D3" w:rsidP="00AF169B">
                      <w:pPr>
                        <w:jc w:val="center"/>
                        <w:rPr>
                          <w:rFonts w:ascii="Arial" w:hAnsi="Arial" w:cs="Arial"/>
                          <w:b/>
                          <w:color w:val="000000"/>
                          <w:szCs w:val="24"/>
                        </w:rPr>
                      </w:pPr>
                      <w:r>
                        <w:rPr>
                          <w:rFonts w:ascii="Arial" w:hAnsi="Arial" w:cs="Arial"/>
                          <w:b/>
                          <w:color w:val="000000"/>
                          <w:szCs w:val="24"/>
                        </w:rPr>
                        <w:t>Ideas into action</w:t>
                      </w:r>
                    </w:p>
                  </w:txbxContent>
                </v:textbox>
                <w10:wrap type="square"/>
              </v:shape>
            </w:pict>
          </mc:Fallback>
        </mc:AlternateContent>
      </w:r>
    </w:p>
    <w:p w:rsidR="00AF169B" w:rsidRPr="002F3BB0" w:rsidRDefault="00AF169B" w:rsidP="002E182C">
      <w:pPr>
        <w:spacing w:before="120" w:after="0" w:line="240" w:lineRule="auto"/>
        <w:ind w:left="357"/>
        <w:rPr>
          <w:rFonts w:ascii="Arial" w:hAnsi="Arial" w:cs="Arial"/>
          <w:i w:val="0"/>
          <w:color w:val="000000"/>
          <w:sz w:val="22"/>
          <w:szCs w:val="22"/>
        </w:rPr>
      </w:pPr>
    </w:p>
    <w:p w:rsidR="00AF169B" w:rsidRPr="002F3BB0" w:rsidRDefault="00AF169B" w:rsidP="002E182C">
      <w:pPr>
        <w:spacing w:before="120" w:after="0" w:line="240" w:lineRule="auto"/>
        <w:ind w:left="357"/>
        <w:rPr>
          <w:rFonts w:ascii="Arial" w:hAnsi="Arial" w:cs="Arial"/>
          <w:i w:val="0"/>
          <w:color w:val="000000"/>
          <w:sz w:val="22"/>
          <w:szCs w:val="22"/>
        </w:rPr>
      </w:pPr>
    </w:p>
    <w:p w:rsidR="00AF169B" w:rsidRPr="002F3BB0" w:rsidRDefault="00AF169B" w:rsidP="002E182C">
      <w:pPr>
        <w:spacing w:before="120" w:after="0" w:line="240" w:lineRule="auto"/>
        <w:ind w:left="714"/>
        <w:rPr>
          <w:rFonts w:ascii="Arial" w:hAnsi="Arial" w:cs="Arial"/>
          <w:i w:val="0"/>
          <w:color w:val="000000"/>
          <w:sz w:val="22"/>
          <w:szCs w:val="22"/>
        </w:rPr>
      </w:pPr>
    </w:p>
    <w:p w:rsidR="00AF169B" w:rsidRPr="002F3BB0" w:rsidRDefault="002E182C" w:rsidP="00AF169B">
      <w:pPr>
        <w:spacing w:before="120"/>
        <w:rPr>
          <w:rFonts w:ascii="Arial" w:hAnsi="Arial" w:cs="Arial"/>
          <w:i w:val="0"/>
          <w:color w:val="000000"/>
          <w:sz w:val="22"/>
          <w:szCs w:val="22"/>
        </w:rPr>
      </w:pPr>
      <w:r w:rsidRPr="002F3BB0">
        <w:rPr>
          <w:rFonts w:ascii="Arial" w:hAnsi="Arial" w:cs="Arial"/>
          <w:i w:val="0"/>
          <w:noProof/>
          <w:color w:val="000000"/>
          <w:sz w:val="22"/>
          <w:szCs w:val="22"/>
          <w:lang w:eastAsia="en-AU"/>
        </w:rPr>
        <mc:AlternateContent>
          <mc:Choice Requires="wps">
            <w:drawing>
              <wp:anchor distT="0" distB="0" distL="114300" distR="114300" simplePos="0" relativeHeight="251694080" behindDoc="0" locked="0" layoutInCell="1" allowOverlap="1" wp14:anchorId="14E670D7" wp14:editId="6783B488">
                <wp:simplePos x="0" y="0"/>
                <wp:positionH relativeFrom="column">
                  <wp:posOffset>-9525</wp:posOffset>
                </wp:positionH>
                <wp:positionV relativeFrom="paragraph">
                  <wp:posOffset>69850</wp:posOffset>
                </wp:positionV>
                <wp:extent cx="1355090" cy="617220"/>
                <wp:effectExtent l="0" t="0" r="35560" b="49530"/>
                <wp:wrapSquare wrapText="bothSides"/>
                <wp:docPr id="8" name="AutoShap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617220"/>
                        </a:xfrm>
                        <a:prstGeom prst="flowChartAlternateProcess">
                          <a:avLst/>
                        </a:prstGeom>
                        <a:gradFill rotWithShape="0">
                          <a:gsLst>
                            <a:gs pos="0">
                              <a:srgbClr val="B2A1C7"/>
                            </a:gs>
                            <a:gs pos="50000">
                              <a:srgbClr val="E5DFEC"/>
                            </a:gs>
                            <a:gs pos="100000">
                              <a:srgbClr val="B2A1C7"/>
                            </a:gs>
                          </a:gsLst>
                          <a:lin ang="18900000" scaled="1"/>
                        </a:gradFill>
                        <a:ln w="12700" algn="ctr">
                          <a:solidFill>
                            <a:srgbClr val="B2A1C7"/>
                          </a:solidFill>
                          <a:miter lim="800000"/>
                          <a:headEnd/>
                          <a:tailEnd/>
                        </a:ln>
                        <a:effectLst>
                          <a:outerShdw dist="28398" dir="3806097" algn="ctr" rotWithShape="0">
                            <a:srgbClr val="3F3151">
                              <a:alpha val="50000"/>
                            </a:srgbClr>
                          </a:outerShdw>
                        </a:effectLst>
                      </wps:spPr>
                      <wps:txbx>
                        <w:txbxContent>
                          <w:p w:rsidR="007447D3" w:rsidRPr="00976A4B" w:rsidRDefault="007447D3" w:rsidP="00AF169B">
                            <w:pPr>
                              <w:jc w:val="center"/>
                              <w:rPr>
                                <w:rFonts w:ascii="Arial" w:hAnsi="Arial" w:cs="Arial"/>
                                <w:b/>
                                <w:color w:val="000000"/>
                                <w:sz w:val="2"/>
                                <w:szCs w:val="24"/>
                              </w:rPr>
                            </w:pPr>
                          </w:p>
                          <w:p w:rsidR="007447D3" w:rsidRPr="00726739" w:rsidRDefault="007447D3" w:rsidP="00AF169B">
                            <w:pPr>
                              <w:jc w:val="center"/>
                              <w:rPr>
                                <w:rFonts w:ascii="Arial" w:hAnsi="Arial" w:cs="Arial"/>
                                <w:b/>
                                <w:color w:val="000000"/>
                                <w:szCs w:val="24"/>
                              </w:rPr>
                            </w:pPr>
                            <w:r>
                              <w:rPr>
                                <w:rFonts w:ascii="Arial" w:hAnsi="Arial" w:cs="Arial"/>
                                <w:b/>
                                <w:color w:val="000000"/>
                                <w:szCs w:val="24"/>
                              </w:rPr>
                              <w:t>Unleash potential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2" o:spid="_x0000_s1032" type="#_x0000_t176" style="position:absolute;margin-left:-.75pt;margin-top:5.5pt;width:106.7pt;height:4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" fillcolor="#b2a1c7" strokecolor="#b2a1c7" strokeweight="1pt">
                <v:fill color2="#e5dfec" angle="135" focus="50%" type="gradient"/>
                <v:shadow on="t" color="#3f3151" opacity=".5" offset="1pt"/>
                <v:textbox>
                  <w:txbxContent>
                    <w:p w:rsidR="007447D3" w:rsidRPr="00976A4B" w:rsidRDefault="007447D3" w:rsidP="00AF169B">
                      <w:pPr>
                        <w:jc w:val="center"/>
                        <w:rPr>
                          <w:rFonts w:ascii="Arial" w:hAnsi="Arial" w:cs="Arial"/>
                          <w:b/>
                          <w:color w:val="000000"/>
                          <w:sz w:val="2"/>
                          <w:szCs w:val="24"/>
                        </w:rPr>
                      </w:pPr>
                    </w:p>
                    <w:p w:rsidR="007447D3" w:rsidRPr="00726739" w:rsidRDefault="007447D3" w:rsidP="00AF169B">
                      <w:pPr>
                        <w:jc w:val="center"/>
                        <w:rPr>
                          <w:rFonts w:ascii="Arial" w:hAnsi="Arial" w:cs="Arial"/>
                          <w:b/>
                          <w:color w:val="000000"/>
                          <w:szCs w:val="24"/>
                        </w:rPr>
                      </w:pPr>
                      <w:r>
                        <w:rPr>
                          <w:rFonts w:ascii="Arial" w:hAnsi="Arial" w:cs="Arial"/>
                          <w:b/>
                          <w:color w:val="000000"/>
                          <w:szCs w:val="24"/>
                        </w:rPr>
                        <w:t>Unleash potential</w:t>
                      </w:r>
                    </w:p>
                  </w:txbxContent>
                </v:textbox>
                <w10:wrap type="square"/>
              </v:shape>
            </w:pict>
          </mc:Fallback>
        </mc:AlternateContent>
      </w:r>
    </w:p>
    <w:p w:rsidR="00AF169B" w:rsidRPr="002F3BB0" w:rsidRDefault="00AF169B" w:rsidP="002E182C">
      <w:pPr>
        <w:spacing w:before="120" w:after="0" w:line="240" w:lineRule="auto"/>
        <w:ind w:left="2268"/>
        <w:rPr>
          <w:rFonts w:ascii="Arial" w:hAnsi="Arial" w:cs="Arial"/>
          <w:i w:val="0"/>
          <w:color w:val="000000"/>
          <w:sz w:val="22"/>
          <w:szCs w:val="22"/>
        </w:rPr>
      </w:pPr>
    </w:p>
    <w:p w:rsidR="00AF169B" w:rsidRPr="002F3BB0" w:rsidRDefault="00AF169B" w:rsidP="002E182C">
      <w:pPr>
        <w:spacing w:before="120" w:after="0" w:line="240" w:lineRule="auto"/>
        <w:ind w:left="2268"/>
        <w:rPr>
          <w:rFonts w:ascii="Arial" w:hAnsi="Arial" w:cs="Arial"/>
          <w:i w:val="0"/>
          <w:color w:val="000000"/>
          <w:sz w:val="22"/>
          <w:szCs w:val="22"/>
        </w:rPr>
      </w:pPr>
    </w:p>
    <w:p w:rsidR="00AF169B" w:rsidRDefault="00AF169B" w:rsidP="002E182C">
      <w:pPr>
        <w:spacing w:before="120" w:after="0" w:line="240" w:lineRule="auto"/>
        <w:ind w:left="2268"/>
        <w:rPr>
          <w:rFonts w:ascii="Arial" w:hAnsi="Arial" w:cs="Arial"/>
          <w:i w:val="0"/>
          <w:color w:val="000000"/>
          <w:sz w:val="22"/>
          <w:szCs w:val="22"/>
        </w:rPr>
      </w:pPr>
    </w:p>
    <w:p w:rsidR="00976A4B" w:rsidRPr="002F3BB0" w:rsidRDefault="002E182C" w:rsidP="00154A4D">
      <w:pPr>
        <w:spacing w:before="120" w:after="0" w:line="240" w:lineRule="auto"/>
        <w:ind w:left="2410" w:hanging="1701"/>
        <w:rPr>
          <w:rFonts w:ascii="Arial" w:hAnsi="Arial" w:cs="Arial"/>
          <w:i w:val="0"/>
          <w:color w:val="000000"/>
          <w:sz w:val="22"/>
          <w:szCs w:val="22"/>
        </w:rPr>
      </w:pPr>
      <w:r w:rsidRPr="002F3BB0">
        <w:rPr>
          <w:rFonts w:ascii="Arial" w:hAnsi="Arial" w:cs="Arial"/>
          <w:i w:val="0"/>
          <w:noProof/>
          <w:color w:val="000000"/>
          <w:sz w:val="22"/>
          <w:szCs w:val="22"/>
          <w:lang w:eastAsia="en-AU"/>
        </w:rPr>
        <mc:AlternateContent>
          <mc:Choice Requires="wps">
            <w:drawing>
              <wp:anchor distT="0" distB="0" distL="114300" distR="114300" simplePos="0" relativeHeight="251692032" behindDoc="1" locked="0" layoutInCell="1" allowOverlap="1" wp14:anchorId="060348BE" wp14:editId="470A5B2B">
                <wp:simplePos x="0" y="0"/>
                <wp:positionH relativeFrom="column">
                  <wp:posOffset>-5715</wp:posOffset>
                </wp:positionH>
                <wp:positionV relativeFrom="paragraph">
                  <wp:posOffset>11430</wp:posOffset>
                </wp:positionV>
                <wp:extent cx="1419225" cy="617220"/>
                <wp:effectExtent l="0" t="0" r="47625" b="49530"/>
                <wp:wrapSquare wrapText="bothSides"/>
                <wp:docPr id="7" name="AutoShap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17220"/>
                        </a:xfrm>
                        <a:prstGeom prst="flowChartAlternateProcess">
                          <a:avLst/>
                        </a:prstGeom>
                        <a:gradFill rotWithShape="0">
                          <a:gsLst>
                            <a:gs pos="0">
                              <a:srgbClr val="B2A1C7"/>
                            </a:gs>
                            <a:gs pos="50000">
                              <a:srgbClr val="E5DFEC"/>
                            </a:gs>
                            <a:gs pos="100000">
                              <a:srgbClr val="B2A1C7"/>
                            </a:gs>
                          </a:gsLst>
                          <a:lin ang="18900000" scaled="1"/>
                        </a:gradFill>
                        <a:ln w="12700" algn="ctr">
                          <a:solidFill>
                            <a:srgbClr val="B2A1C7"/>
                          </a:solidFill>
                          <a:miter lim="800000"/>
                          <a:headEnd/>
                          <a:tailEnd/>
                        </a:ln>
                        <a:effectLst>
                          <a:outerShdw dist="28398" dir="3806097" algn="ctr" rotWithShape="0">
                            <a:srgbClr val="3F3151">
                              <a:alpha val="50000"/>
                            </a:srgbClr>
                          </a:outerShdw>
                        </a:effectLst>
                      </wps:spPr>
                      <wps:txbx>
                        <w:txbxContent>
                          <w:p w:rsidR="007447D3" w:rsidRPr="00976A4B" w:rsidRDefault="007447D3" w:rsidP="00976A4B">
                            <w:pPr>
                              <w:jc w:val="center"/>
                              <w:rPr>
                                <w:rFonts w:ascii="Arial" w:hAnsi="Arial" w:cs="Arial"/>
                                <w:b/>
                                <w:color w:val="000000"/>
                                <w:sz w:val="4"/>
                                <w:szCs w:val="24"/>
                              </w:rPr>
                            </w:pPr>
                          </w:p>
                          <w:p w:rsidR="007447D3" w:rsidRPr="00726739" w:rsidRDefault="007447D3" w:rsidP="00976A4B">
                            <w:pPr>
                              <w:jc w:val="center"/>
                              <w:rPr>
                                <w:rFonts w:ascii="Arial" w:hAnsi="Arial" w:cs="Arial"/>
                                <w:b/>
                                <w:color w:val="000000"/>
                                <w:szCs w:val="24"/>
                              </w:rPr>
                            </w:pPr>
                            <w:r>
                              <w:rPr>
                                <w:rFonts w:ascii="Arial" w:hAnsi="Arial" w:cs="Arial"/>
                                <w:b/>
                                <w:color w:val="000000"/>
                                <w:szCs w:val="24"/>
                              </w:rPr>
                              <w:t>Be courageous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0" o:spid="_x0000_s1033" type="#_x0000_t176" style="position:absolute;left:0;text-align:left;margin-left:-.45pt;margin-top:.9pt;width:111.75pt;height:48.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" fillcolor="#b2a1c7" strokecolor="#b2a1c7" strokeweight="1pt">
                <v:fill color2="#e5dfec" angle="135" focus="50%" type="gradient"/>
                <v:shadow on="t" color="#3f3151" opacity=".5" offset="1pt"/>
                <v:textbox>
                  <w:txbxContent>
                    <w:p w:rsidR="007447D3" w:rsidRPr="00976A4B" w:rsidRDefault="007447D3" w:rsidP="00976A4B">
                      <w:pPr>
                        <w:jc w:val="center"/>
                        <w:rPr>
                          <w:rFonts w:ascii="Arial" w:hAnsi="Arial" w:cs="Arial"/>
                          <w:b/>
                          <w:color w:val="000000"/>
                          <w:sz w:val="4"/>
                          <w:szCs w:val="24"/>
                        </w:rPr>
                      </w:pPr>
                    </w:p>
                    <w:p w:rsidR="007447D3" w:rsidRPr="00726739" w:rsidRDefault="007447D3" w:rsidP="00976A4B">
                      <w:pPr>
                        <w:jc w:val="center"/>
                        <w:rPr>
                          <w:rFonts w:ascii="Arial" w:hAnsi="Arial" w:cs="Arial"/>
                          <w:b/>
                          <w:color w:val="000000"/>
                          <w:szCs w:val="24"/>
                        </w:rPr>
                      </w:pPr>
                      <w:r>
                        <w:rPr>
                          <w:rFonts w:ascii="Arial" w:hAnsi="Arial" w:cs="Arial"/>
                          <w:b/>
                          <w:color w:val="000000"/>
                          <w:szCs w:val="24"/>
                        </w:rPr>
                        <w:t>Be courageous</w:t>
                      </w:r>
                    </w:p>
                  </w:txbxContent>
                </v:textbox>
                <w10:wrap type="square"/>
              </v:shape>
            </w:pict>
          </mc:Fallback>
        </mc:AlternateContent>
      </w:r>
    </w:p>
    <w:p w:rsidR="00AF169B" w:rsidRPr="002F3BB0" w:rsidRDefault="00AF169B" w:rsidP="002E182C">
      <w:pPr>
        <w:spacing w:before="120" w:after="0" w:line="240" w:lineRule="auto"/>
        <w:ind w:left="2694"/>
        <w:rPr>
          <w:rFonts w:ascii="Arial" w:hAnsi="Arial" w:cs="Arial"/>
          <w:i w:val="0"/>
          <w:color w:val="000000"/>
          <w:sz w:val="22"/>
          <w:szCs w:val="22"/>
        </w:rPr>
      </w:pPr>
    </w:p>
    <w:p w:rsidR="00AF169B" w:rsidRPr="002F3BB0" w:rsidRDefault="00AF169B" w:rsidP="002E182C">
      <w:pPr>
        <w:spacing w:before="120" w:after="0" w:line="240" w:lineRule="auto"/>
        <w:ind w:left="2694"/>
        <w:rPr>
          <w:rFonts w:ascii="Arial" w:hAnsi="Arial" w:cs="Arial"/>
          <w:i w:val="0"/>
          <w:color w:val="000000"/>
          <w:sz w:val="22"/>
          <w:szCs w:val="22"/>
        </w:rPr>
      </w:pPr>
    </w:p>
    <w:p w:rsidR="000E02B6" w:rsidRPr="002F3BB0" w:rsidRDefault="002E182C" w:rsidP="002E182C">
      <w:pPr>
        <w:spacing w:before="120" w:after="0" w:line="720" w:lineRule="auto"/>
        <w:ind w:left="2694"/>
        <w:rPr>
          <w:rFonts w:ascii="Arial" w:hAnsi="Arial" w:cs="Arial"/>
          <w:i w:val="0"/>
          <w:color w:val="000000"/>
          <w:sz w:val="22"/>
          <w:szCs w:val="22"/>
        </w:rPr>
      </w:pPr>
      <w:r w:rsidRPr="002F3BB0">
        <w:rPr>
          <w:rFonts w:ascii="Arial" w:hAnsi="Arial" w:cs="Arial"/>
          <w:i w:val="0"/>
          <w:noProof/>
          <w:color w:val="000000"/>
          <w:sz w:val="22"/>
          <w:szCs w:val="22"/>
          <w:lang w:eastAsia="en-AU"/>
        </w:rPr>
        <mc:AlternateContent>
          <mc:Choice Requires="wps">
            <w:drawing>
              <wp:anchor distT="0" distB="0" distL="114300" distR="114300" simplePos="0" relativeHeight="251695104" behindDoc="0" locked="0" layoutInCell="1" allowOverlap="1" wp14:anchorId="3730BD9C" wp14:editId="63E6DEA4">
                <wp:simplePos x="0" y="0"/>
                <wp:positionH relativeFrom="column">
                  <wp:posOffset>-20320</wp:posOffset>
                </wp:positionH>
                <wp:positionV relativeFrom="paragraph">
                  <wp:posOffset>220980</wp:posOffset>
                </wp:positionV>
                <wp:extent cx="1355090" cy="617220"/>
                <wp:effectExtent l="0" t="0" r="35560" b="49530"/>
                <wp:wrapSquare wrapText="bothSides"/>
                <wp:docPr id="6" name="AutoShap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617220"/>
                        </a:xfrm>
                        <a:prstGeom prst="flowChartAlternateProcess">
                          <a:avLst/>
                        </a:prstGeom>
                        <a:gradFill rotWithShape="0">
                          <a:gsLst>
                            <a:gs pos="0">
                              <a:srgbClr val="B2A1C7"/>
                            </a:gs>
                            <a:gs pos="50000">
                              <a:srgbClr val="E5DFEC"/>
                            </a:gs>
                            <a:gs pos="100000">
                              <a:srgbClr val="B2A1C7"/>
                            </a:gs>
                          </a:gsLst>
                          <a:lin ang="18900000" scaled="1"/>
                        </a:gradFill>
                        <a:ln w="12700" algn="ctr">
                          <a:solidFill>
                            <a:srgbClr val="B2A1C7"/>
                          </a:solidFill>
                          <a:miter lim="800000"/>
                          <a:headEnd/>
                          <a:tailEnd/>
                        </a:ln>
                        <a:effectLst>
                          <a:outerShdw dist="28398" dir="3806097" algn="ctr" rotWithShape="0">
                            <a:srgbClr val="3F3151">
                              <a:alpha val="50000"/>
                            </a:srgbClr>
                          </a:outerShdw>
                        </a:effectLst>
                      </wps:spPr>
                      <wps:txbx>
                        <w:txbxContent>
                          <w:p w:rsidR="007447D3" w:rsidRPr="00976A4B" w:rsidRDefault="007447D3" w:rsidP="00AF169B">
                            <w:pPr>
                              <w:jc w:val="center"/>
                              <w:rPr>
                                <w:rFonts w:ascii="Arial" w:hAnsi="Arial" w:cs="Arial"/>
                                <w:b/>
                                <w:color w:val="000000"/>
                                <w:sz w:val="2"/>
                                <w:szCs w:val="24"/>
                              </w:rPr>
                            </w:pPr>
                          </w:p>
                          <w:p w:rsidR="007447D3" w:rsidRPr="00726739" w:rsidRDefault="007447D3" w:rsidP="00AF169B">
                            <w:pPr>
                              <w:jc w:val="center"/>
                              <w:rPr>
                                <w:rFonts w:ascii="Arial" w:hAnsi="Arial" w:cs="Arial"/>
                                <w:b/>
                                <w:color w:val="000000"/>
                                <w:szCs w:val="24"/>
                              </w:rPr>
                            </w:pPr>
                            <w:r>
                              <w:rPr>
                                <w:rFonts w:ascii="Arial" w:hAnsi="Arial" w:cs="Arial"/>
                                <w:b/>
                                <w:color w:val="000000"/>
                                <w:szCs w:val="24"/>
                              </w:rPr>
                              <w:t>Empower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4" o:spid="_x0000_s1034" type="#_x0000_t176" style="position:absolute;left:0;text-align:left;margin-left:-1.6pt;margin-top:17.4pt;width:106.7pt;height:4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" fillcolor="#b2a1c7" strokecolor="#b2a1c7" strokeweight="1pt">
                <v:fill color2="#e5dfec" angle="135" focus="50%" type="gradient"/>
                <v:shadow on="t" color="#3f3151" opacity=".5" offset="1pt"/>
                <v:textbox>
                  <w:txbxContent>
                    <w:p w:rsidR="007447D3" w:rsidRPr="00976A4B" w:rsidRDefault="007447D3" w:rsidP="00AF169B">
                      <w:pPr>
                        <w:jc w:val="center"/>
                        <w:rPr>
                          <w:rFonts w:ascii="Arial" w:hAnsi="Arial" w:cs="Arial"/>
                          <w:b/>
                          <w:color w:val="000000"/>
                          <w:sz w:val="2"/>
                          <w:szCs w:val="24"/>
                        </w:rPr>
                      </w:pPr>
                    </w:p>
                    <w:p w:rsidR="007447D3" w:rsidRPr="00726739" w:rsidRDefault="007447D3" w:rsidP="00AF169B">
                      <w:pPr>
                        <w:jc w:val="center"/>
                        <w:rPr>
                          <w:rFonts w:ascii="Arial" w:hAnsi="Arial" w:cs="Arial"/>
                          <w:b/>
                          <w:color w:val="000000"/>
                          <w:szCs w:val="24"/>
                        </w:rPr>
                      </w:pPr>
                      <w:r>
                        <w:rPr>
                          <w:rFonts w:ascii="Arial" w:hAnsi="Arial" w:cs="Arial"/>
                          <w:b/>
                          <w:color w:val="000000"/>
                          <w:szCs w:val="24"/>
                        </w:rPr>
                        <w:t>Empower people</w:t>
                      </w:r>
                    </w:p>
                  </w:txbxContent>
                </v:textbox>
                <w10:wrap type="square"/>
              </v:shape>
            </w:pict>
          </mc:Fallback>
        </mc:AlternateContent>
      </w:r>
      <w:r w:rsidR="000E02B6" w:rsidRPr="002F3BB0">
        <w:rPr>
          <w:rFonts w:cstheme="minorHAnsi"/>
          <w:i w:val="0"/>
          <w:sz w:val="22"/>
          <w:szCs w:val="22"/>
        </w:rPr>
        <w:t xml:space="preserve"> </w:t>
      </w:r>
    </w:p>
    <w:p w:rsidR="000E02B6" w:rsidRPr="002F3BB0" w:rsidRDefault="002362C0" w:rsidP="000E02B6">
      <w:pPr>
        <w:pageBreakBefore/>
        <w:spacing w:after="120" w:line="240" w:lineRule="auto"/>
        <w:rPr>
          <w:rFonts w:cstheme="minorHAnsi"/>
          <w:b/>
          <w:i w:val="0"/>
          <w:sz w:val="22"/>
          <w:szCs w:val="22"/>
        </w:rPr>
      </w:pPr>
      <w:r w:rsidRPr="002F3BB0">
        <w:rPr>
          <w:rFonts w:cstheme="minorHAnsi"/>
          <w:i w:val="0"/>
          <w:sz w:val="22"/>
          <w:szCs w:val="22"/>
        </w:rPr>
        <w:lastRenderedPageBreak/>
        <w:t>W</w:t>
      </w:r>
      <w:r w:rsidR="000E02B6" w:rsidRPr="002F3BB0">
        <w:rPr>
          <w:rFonts w:cstheme="minorHAnsi"/>
          <w:i w:val="0"/>
          <w:sz w:val="22"/>
          <w:szCs w:val="22"/>
        </w:rPr>
        <w:t>e believe these values lead to the following positive behaviours</w:t>
      </w:r>
      <w:r w:rsidR="000E02B6" w:rsidRPr="002F3BB0">
        <w:rPr>
          <w:rFonts w:cstheme="minorHAnsi"/>
          <w:b/>
          <w:i w:val="0"/>
          <w:sz w:val="22"/>
          <w:szCs w:val="22"/>
        </w:rPr>
        <w:t xml:space="preserve">: </w:t>
      </w:r>
    </w:p>
    <w:p w:rsidR="000E02B6" w:rsidRPr="002F3BB0" w:rsidRDefault="00A31DD2" w:rsidP="00016E67">
      <w:pPr>
        <w:numPr>
          <w:ilvl w:val="0"/>
          <w:numId w:val="13"/>
        </w:numPr>
        <w:spacing w:before="120" w:after="0" w:line="240" w:lineRule="auto"/>
        <w:ind w:left="357" w:hanging="357"/>
        <w:rPr>
          <w:rFonts w:eastAsia="Times New Roman" w:cstheme="minorHAnsi"/>
          <w:i w:val="0"/>
          <w:sz w:val="22"/>
          <w:szCs w:val="22"/>
          <w:lang w:eastAsia="en-AU"/>
        </w:rPr>
      </w:pPr>
      <w:r>
        <w:rPr>
          <w:rFonts w:eastAsia="Times New Roman" w:cstheme="minorHAnsi"/>
          <w:i w:val="0"/>
          <w:sz w:val="22"/>
          <w:szCs w:val="22"/>
          <w:lang w:eastAsia="en-AU"/>
        </w:rPr>
        <w:t>t</w:t>
      </w:r>
      <w:r w:rsidR="00E65833" w:rsidRPr="002F3BB0">
        <w:rPr>
          <w:rFonts w:eastAsia="Times New Roman" w:cstheme="minorHAnsi"/>
          <w:i w:val="0"/>
          <w:sz w:val="22"/>
          <w:szCs w:val="22"/>
          <w:lang w:eastAsia="en-AU"/>
        </w:rPr>
        <w:t>reating everyone with respect and dignity, acknowledging their fundamental human rights</w:t>
      </w:r>
      <w:r w:rsidR="000E02B6" w:rsidRPr="002F3BB0">
        <w:rPr>
          <w:rFonts w:eastAsia="Times New Roman" w:cstheme="minorHAnsi"/>
          <w:i w:val="0"/>
          <w:sz w:val="22"/>
          <w:szCs w:val="22"/>
          <w:lang w:eastAsia="en-AU"/>
        </w:rPr>
        <w:t>;</w:t>
      </w:r>
    </w:p>
    <w:p w:rsidR="000E02B6" w:rsidRPr="002F3BB0" w:rsidRDefault="00A31DD2" w:rsidP="00016E67">
      <w:pPr>
        <w:numPr>
          <w:ilvl w:val="0"/>
          <w:numId w:val="13"/>
        </w:numPr>
        <w:spacing w:before="120" w:after="0" w:line="240" w:lineRule="auto"/>
        <w:ind w:left="357" w:hanging="357"/>
        <w:rPr>
          <w:rFonts w:eastAsia="Times New Roman" w:cstheme="minorHAnsi"/>
          <w:i w:val="0"/>
          <w:sz w:val="22"/>
          <w:szCs w:val="22"/>
          <w:lang w:eastAsia="en-AU"/>
        </w:rPr>
      </w:pPr>
      <w:r>
        <w:rPr>
          <w:rFonts w:eastAsia="Times New Roman" w:cstheme="minorHAnsi"/>
          <w:i w:val="0"/>
          <w:sz w:val="22"/>
          <w:szCs w:val="22"/>
          <w:lang w:eastAsia="en-AU"/>
        </w:rPr>
        <w:t>t</w:t>
      </w:r>
      <w:r w:rsidR="00E65833" w:rsidRPr="002F3BB0">
        <w:rPr>
          <w:rFonts w:eastAsia="Times New Roman" w:cstheme="minorHAnsi"/>
          <w:i w:val="0"/>
          <w:sz w:val="22"/>
          <w:szCs w:val="22"/>
          <w:lang w:eastAsia="en-AU"/>
        </w:rPr>
        <w:t>reating everyone fairly and impartially</w:t>
      </w:r>
      <w:r w:rsidR="000E02B6" w:rsidRPr="002F3BB0">
        <w:rPr>
          <w:rFonts w:eastAsia="Times New Roman" w:cstheme="minorHAnsi"/>
          <w:i w:val="0"/>
          <w:sz w:val="22"/>
          <w:szCs w:val="22"/>
          <w:lang w:eastAsia="en-AU"/>
        </w:rPr>
        <w:t>;</w:t>
      </w:r>
    </w:p>
    <w:p w:rsidR="000E02B6" w:rsidRPr="002F3BB0" w:rsidRDefault="00A31DD2" w:rsidP="00016E67">
      <w:pPr>
        <w:numPr>
          <w:ilvl w:val="0"/>
          <w:numId w:val="13"/>
        </w:numPr>
        <w:spacing w:before="120" w:after="0" w:line="240" w:lineRule="auto"/>
        <w:ind w:left="357" w:hanging="357"/>
        <w:rPr>
          <w:rFonts w:eastAsia="Times New Roman" w:cstheme="minorHAnsi"/>
          <w:i w:val="0"/>
          <w:sz w:val="22"/>
          <w:szCs w:val="22"/>
          <w:lang w:eastAsia="en-AU"/>
        </w:rPr>
      </w:pPr>
      <w:r>
        <w:rPr>
          <w:rFonts w:eastAsia="Times New Roman" w:cstheme="minorHAnsi"/>
          <w:i w:val="0"/>
          <w:sz w:val="22"/>
          <w:szCs w:val="22"/>
          <w:lang w:eastAsia="en-AU"/>
        </w:rPr>
        <w:t>s</w:t>
      </w:r>
      <w:r w:rsidR="00E65833" w:rsidRPr="002F3BB0">
        <w:rPr>
          <w:rFonts w:eastAsia="Times New Roman" w:cstheme="minorHAnsi"/>
          <w:i w:val="0"/>
          <w:sz w:val="22"/>
          <w:szCs w:val="22"/>
          <w:lang w:eastAsia="en-AU"/>
        </w:rPr>
        <w:t>upporting a workplace culture that encourages diversity, innovation and responsiveness to the needs of our clients</w:t>
      </w:r>
      <w:r w:rsidR="000E02B6" w:rsidRPr="002F3BB0">
        <w:rPr>
          <w:rFonts w:eastAsia="Times New Roman" w:cstheme="minorHAnsi"/>
          <w:i w:val="0"/>
          <w:sz w:val="22"/>
          <w:szCs w:val="22"/>
          <w:lang w:eastAsia="en-AU"/>
        </w:rPr>
        <w:t>;</w:t>
      </w:r>
      <w:r w:rsidR="005B7166">
        <w:rPr>
          <w:rFonts w:eastAsia="Times New Roman" w:cstheme="minorHAnsi"/>
          <w:i w:val="0"/>
          <w:sz w:val="22"/>
          <w:szCs w:val="22"/>
          <w:lang w:eastAsia="en-AU"/>
        </w:rPr>
        <w:t xml:space="preserve"> and</w:t>
      </w:r>
    </w:p>
    <w:p w:rsidR="000E02B6" w:rsidRPr="002F3BB0" w:rsidRDefault="00A31DD2" w:rsidP="00016E67">
      <w:pPr>
        <w:numPr>
          <w:ilvl w:val="0"/>
          <w:numId w:val="13"/>
        </w:numPr>
        <w:spacing w:before="120" w:after="0" w:line="240" w:lineRule="auto"/>
        <w:ind w:left="357" w:hanging="357"/>
        <w:rPr>
          <w:rFonts w:eastAsia="Times New Roman" w:cstheme="minorHAnsi"/>
          <w:i w:val="0"/>
          <w:sz w:val="22"/>
          <w:szCs w:val="22"/>
          <w:lang w:eastAsia="en-AU"/>
        </w:rPr>
      </w:pPr>
      <w:proofErr w:type="gramStart"/>
      <w:r>
        <w:rPr>
          <w:rFonts w:eastAsia="Times New Roman" w:cstheme="minorHAnsi"/>
          <w:i w:val="0"/>
          <w:sz w:val="22"/>
          <w:szCs w:val="22"/>
          <w:lang w:eastAsia="en-AU"/>
        </w:rPr>
        <w:t>v</w:t>
      </w:r>
      <w:r w:rsidR="00E65833" w:rsidRPr="002F3BB0">
        <w:rPr>
          <w:rFonts w:eastAsia="Times New Roman" w:cstheme="minorHAnsi"/>
          <w:i w:val="0"/>
          <w:sz w:val="22"/>
          <w:szCs w:val="22"/>
          <w:lang w:eastAsia="en-AU"/>
        </w:rPr>
        <w:t>aluing</w:t>
      </w:r>
      <w:proofErr w:type="gramEnd"/>
      <w:r w:rsidR="00E65833" w:rsidRPr="002F3BB0">
        <w:rPr>
          <w:rFonts w:eastAsia="Times New Roman" w:cstheme="minorHAnsi"/>
          <w:i w:val="0"/>
          <w:sz w:val="22"/>
          <w:szCs w:val="22"/>
          <w:lang w:eastAsia="en-AU"/>
        </w:rPr>
        <w:t xml:space="preserve"> our independence and the rule of law</w:t>
      </w:r>
      <w:r w:rsidR="000E02B6" w:rsidRPr="002F3BB0">
        <w:rPr>
          <w:rFonts w:eastAsia="Times New Roman" w:cstheme="minorHAnsi"/>
          <w:i w:val="0"/>
          <w:sz w:val="22"/>
          <w:szCs w:val="22"/>
          <w:lang w:eastAsia="en-AU"/>
        </w:rPr>
        <w:t>.</w:t>
      </w:r>
    </w:p>
    <w:p w:rsidR="00BE5EF8" w:rsidRPr="009D7699" w:rsidRDefault="00BE5EF8" w:rsidP="00016E67">
      <w:pPr>
        <w:spacing w:before="360" w:after="120" w:line="240" w:lineRule="auto"/>
        <w:rPr>
          <w:b/>
          <w:i w:val="0"/>
          <w:sz w:val="22"/>
          <w:szCs w:val="22"/>
        </w:rPr>
      </w:pPr>
      <w:r w:rsidRPr="009D7699">
        <w:rPr>
          <w:b/>
          <w:i w:val="0"/>
          <w:sz w:val="22"/>
          <w:szCs w:val="22"/>
        </w:rPr>
        <w:t>Our functions</w:t>
      </w:r>
    </w:p>
    <w:p w:rsidR="00BE5EF8" w:rsidRPr="002F3BB0" w:rsidRDefault="00BE5EF8" w:rsidP="006A4009">
      <w:pPr>
        <w:spacing w:after="120" w:line="240" w:lineRule="auto"/>
        <w:rPr>
          <w:rFonts w:cstheme="minorHAnsi"/>
          <w:i w:val="0"/>
          <w:sz w:val="22"/>
          <w:szCs w:val="22"/>
        </w:rPr>
      </w:pPr>
      <w:r w:rsidRPr="002F3BB0">
        <w:rPr>
          <w:rFonts w:cstheme="minorHAnsi"/>
          <w:i w:val="0"/>
          <w:sz w:val="22"/>
          <w:szCs w:val="22"/>
        </w:rPr>
        <w:t xml:space="preserve">Established under the </w:t>
      </w:r>
      <w:r w:rsidRPr="002F3BB0">
        <w:rPr>
          <w:rFonts w:cstheme="minorHAnsi"/>
          <w:sz w:val="22"/>
          <w:szCs w:val="22"/>
        </w:rPr>
        <w:t>Anti-Discrimination Act 1991</w:t>
      </w:r>
      <w:r w:rsidRPr="002F3BB0">
        <w:rPr>
          <w:rFonts w:cstheme="minorHAnsi"/>
          <w:i w:val="0"/>
          <w:sz w:val="22"/>
          <w:szCs w:val="22"/>
        </w:rPr>
        <w:t xml:space="preserve">, the Commission is an independent statutory </w:t>
      </w:r>
      <w:r w:rsidR="003275D2" w:rsidRPr="002F3BB0">
        <w:rPr>
          <w:rFonts w:cstheme="minorHAnsi"/>
          <w:i w:val="0"/>
          <w:sz w:val="22"/>
          <w:szCs w:val="22"/>
        </w:rPr>
        <w:t>bod</w:t>
      </w:r>
      <w:r w:rsidRPr="002F3BB0">
        <w:rPr>
          <w:rFonts w:cstheme="minorHAnsi"/>
          <w:i w:val="0"/>
          <w:sz w:val="22"/>
          <w:szCs w:val="22"/>
        </w:rPr>
        <w:t xml:space="preserve">y that </w:t>
      </w:r>
      <w:r w:rsidR="00E448B8">
        <w:rPr>
          <w:rFonts w:cstheme="minorHAnsi"/>
          <w:i w:val="0"/>
          <w:sz w:val="22"/>
          <w:szCs w:val="22"/>
        </w:rPr>
        <w:t xml:space="preserve">has </w:t>
      </w:r>
      <w:r w:rsidRPr="002F3BB0">
        <w:rPr>
          <w:rFonts w:cstheme="minorHAnsi"/>
          <w:i w:val="0"/>
          <w:sz w:val="22"/>
          <w:szCs w:val="22"/>
        </w:rPr>
        <w:t xml:space="preserve">the following functions: </w:t>
      </w:r>
    </w:p>
    <w:p w:rsidR="00BE5EF8"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t</w:t>
      </w:r>
      <w:r w:rsidR="00BE5EF8" w:rsidRPr="002F3BB0">
        <w:rPr>
          <w:rFonts w:eastAsia="Times New Roman" w:cstheme="minorHAnsi"/>
          <w:i w:val="0"/>
          <w:sz w:val="22"/>
          <w:szCs w:val="22"/>
          <w:lang w:eastAsia="en-AU"/>
        </w:rPr>
        <w:t>o inquire into complaints and, where possible, to effect conciliation;</w:t>
      </w:r>
    </w:p>
    <w:p w:rsidR="00BE5EF8"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t</w:t>
      </w:r>
      <w:r w:rsidR="00BE5EF8" w:rsidRPr="002F3BB0">
        <w:rPr>
          <w:rFonts w:eastAsia="Times New Roman" w:cstheme="minorHAnsi"/>
          <w:i w:val="0"/>
          <w:sz w:val="22"/>
          <w:szCs w:val="22"/>
          <w:lang w:eastAsia="en-AU"/>
        </w:rPr>
        <w:t xml:space="preserve">o carry out investigations relating to contraventions of the Act; </w:t>
      </w:r>
    </w:p>
    <w:p w:rsidR="00BE5EF8"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t</w:t>
      </w:r>
      <w:r w:rsidR="00BE5EF8" w:rsidRPr="002F3BB0">
        <w:rPr>
          <w:rFonts w:eastAsia="Times New Roman" w:cstheme="minorHAnsi"/>
          <w:i w:val="0"/>
          <w:sz w:val="22"/>
          <w:szCs w:val="22"/>
          <w:lang w:eastAsia="en-AU"/>
        </w:rPr>
        <w:t xml:space="preserve">o examine Acts and, when requested by the Minister, proposed Acts, to determine whether they are, or would be, inconsistent with the purposes of the Act, and to report to the Minister the results of the examination; </w:t>
      </w:r>
    </w:p>
    <w:p w:rsidR="00BE5EF8"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t</w:t>
      </w:r>
      <w:r w:rsidR="00BE5EF8" w:rsidRPr="002F3BB0">
        <w:rPr>
          <w:rFonts w:eastAsia="Times New Roman" w:cstheme="minorHAnsi"/>
          <w:i w:val="0"/>
          <w:sz w:val="22"/>
          <w:szCs w:val="22"/>
          <w:lang w:eastAsia="en-AU"/>
        </w:rPr>
        <w:t xml:space="preserve">o undertake research and educational programs to promote the purposes of the Act, and to coordinate programs undertaken by other people or authorities on behalf of the State; </w:t>
      </w:r>
    </w:p>
    <w:p w:rsidR="00BE5EF8"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t</w:t>
      </w:r>
      <w:r w:rsidR="00BE5EF8" w:rsidRPr="002F3BB0">
        <w:rPr>
          <w:rFonts w:eastAsia="Times New Roman" w:cstheme="minorHAnsi"/>
          <w:i w:val="0"/>
          <w:sz w:val="22"/>
          <w:szCs w:val="22"/>
          <w:lang w:eastAsia="en-AU"/>
        </w:rPr>
        <w:t xml:space="preserve">o consult with various organisations to ascertain means of improving services and conditions affecting groups that are subjected to contraventions of the  Act; </w:t>
      </w:r>
    </w:p>
    <w:p w:rsidR="00BE5EF8"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w</w:t>
      </w:r>
      <w:r w:rsidR="00BE5EF8" w:rsidRPr="002F3BB0">
        <w:rPr>
          <w:rFonts w:eastAsia="Times New Roman" w:cstheme="minorHAnsi"/>
          <w:i w:val="0"/>
          <w:sz w:val="22"/>
          <w:szCs w:val="22"/>
          <w:lang w:eastAsia="en-AU"/>
        </w:rPr>
        <w:t xml:space="preserve">hen requested by the Minister, to research and develop additional grounds of discrimination and to make recommendations for the inclusion of such grounds in the Act; </w:t>
      </w:r>
    </w:p>
    <w:p w:rsidR="00BE5EF8"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s</w:t>
      </w:r>
      <w:r w:rsidR="00BE5EF8" w:rsidRPr="002F3BB0">
        <w:rPr>
          <w:rFonts w:eastAsia="Times New Roman" w:cstheme="minorHAnsi"/>
          <w:i w:val="0"/>
          <w:sz w:val="22"/>
          <w:szCs w:val="22"/>
          <w:lang w:eastAsia="en-AU"/>
        </w:rPr>
        <w:t>uch functions as are conferred on the commission under</w:t>
      </w:r>
      <w:r w:rsidR="008D3073">
        <w:rPr>
          <w:rFonts w:eastAsia="Times New Roman" w:cstheme="minorHAnsi"/>
          <w:i w:val="0"/>
          <w:sz w:val="22"/>
          <w:szCs w:val="22"/>
          <w:lang w:eastAsia="en-AU"/>
        </w:rPr>
        <w:t xml:space="preserve"> </w:t>
      </w:r>
      <w:r w:rsidR="008D3073" w:rsidRPr="002C3E0B">
        <w:rPr>
          <w:rFonts w:eastAsia="Times New Roman" w:cstheme="minorHAnsi"/>
          <w:i w:val="0"/>
          <w:sz w:val="22"/>
          <w:szCs w:val="22"/>
          <w:lang w:eastAsia="en-AU"/>
        </w:rPr>
        <w:t>another act</w:t>
      </w:r>
      <w:r w:rsidR="00BE5EF8" w:rsidRPr="002F3BB0">
        <w:rPr>
          <w:rFonts w:eastAsia="Times New Roman" w:cstheme="minorHAnsi"/>
          <w:i w:val="0"/>
          <w:sz w:val="22"/>
          <w:szCs w:val="22"/>
          <w:lang w:eastAsia="en-AU"/>
        </w:rPr>
        <w:t>;</w:t>
      </w:r>
    </w:p>
    <w:p w:rsidR="00BE5EF8"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s</w:t>
      </w:r>
      <w:r w:rsidR="00BE5EF8" w:rsidRPr="002F3BB0">
        <w:rPr>
          <w:rFonts w:eastAsia="Times New Roman" w:cstheme="minorHAnsi"/>
          <w:i w:val="0"/>
          <w:sz w:val="22"/>
          <w:szCs w:val="22"/>
          <w:lang w:eastAsia="en-AU"/>
        </w:rPr>
        <w:t xml:space="preserve">uch functions as are conferred on the commission under an arrangement with the Commonwealth under part 3 of the </w:t>
      </w:r>
      <w:r w:rsidR="00BE5EF8" w:rsidRPr="002F3BB0">
        <w:rPr>
          <w:rFonts w:eastAsia="Times New Roman" w:cstheme="minorHAnsi"/>
          <w:sz w:val="22"/>
          <w:szCs w:val="22"/>
          <w:lang w:eastAsia="en-AU"/>
        </w:rPr>
        <w:t>Anti-Discrimination Act 1991</w:t>
      </w:r>
      <w:r w:rsidR="00BE5EF8" w:rsidRPr="002F3BB0">
        <w:rPr>
          <w:rFonts w:eastAsia="Times New Roman" w:cstheme="minorHAnsi"/>
          <w:i w:val="0"/>
          <w:sz w:val="22"/>
          <w:szCs w:val="22"/>
          <w:lang w:eastAsia="en-AU"/>
        </w:rPr>
        <w:t>;</w:t>
      </w:r>
    </w:p>
    <w:p w:rsidR="00BE5EF8"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t</w:t>
      </w:r>
      <w:r w:rsidR="00BE5EF8" w:rsidRPr="002F3BB0">
        <w:rPr>
          <w:rFonts w:eastAsia="Times New Roman" w:cstheme="minorHAnsi"/>
          <w:i w:val="0"/>
          <w:sz w:val="22"/>
          <w:szCs w:val="22"/>
          <w:lang w:eastAsia="en-AU"/>
        </w:rPr>
        <w:t xml:space="preserve">o promote an understanding and acceptance, and the public discussion, of human rights in Queensland; </w:t>
      </w:r>
    </w:p>
    <w:p w:rsidR="00BE5EF8"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i</w:t>
      </w:r>
      <w:r w:rsidR="00BE5EF8" w:rsidRPr="002F3BB0">
        <w:rPr>
          <w:rFonts w:eastAsia="Times New Roman" w:cstheme="minorHAnsi"/>
          <w:i w:val="0"/>
          <w:sz w:val="22"/>
          <w:szCs w:val="22"/>
          <w:lang w:eastAsia="en-AU"/>
        </w:rPr>
        <w:t>f the commission considers it appropriate to do so – to intervene in a proceeding that involves human rights issues with the leave of the court hearing the proceeding and subject to any conditions imposed by the court;</w:t>
      </w:r>
    </w:p>
    <w:p w:rsidR="00BE5EF8"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s</w:t>
      </w:r>
      <w:r w:rsidR="00BE5EF8" w:rsidRPr="002F3BB0">
        <w:rPr>
          <w:rFonts w:eastAsia="Times New Roman" w:cstheme="minorHAnsi"/>
          <w:i w:val="0"/>
          <w:sz w:val="22"/>
          <w:szCs w:val="22"/>
          <w:lang w:eastAsia="en-AU"/>
        </w:rPr>
        <w:t xml:space="preserve">uch other functions as the Minister determines; </w:t>
      </w:r>
    </w:p>
    <w:p w:rsidR="00BE5EF8"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2F3BB0">
        <w:rPr>
          <w:rFonts w:eastAsia="Times New Roman" w:cstheme="minorHAnsi"/>
          <w:i w:val="0"/>
          <w:sz w:val="22"/>
          <w:szCs w:val="22"/>
          <w:lang w:eastAsia="en-AU"/>
        </w:rPr>
        <w:t>t</w:t>
      </w:r>
      <w:r w:rsidR="00BE5EF8" w:rsidRPr="002F3BB0">
        <w:rPr>
          <w:rFonts w:eastAsia="Times New Roman" w:cstheme="minorHAnsi"/>
          <w:i w:val="0"/>
          <w:sz w:val="22"/>
          <w:szCs w:val="22"/>
          <w:lang w:eastAsia="en-AU"/>
        </w:rPr>
        <w:t>o</w:t>
      </w:r>
      <w:proofErr w:type="gramEnd"/>
      <w:r w:rsidR="00BE5EF8" w:rsidRPr="002F3BB0">
        <w:rPr>
          <w:rFonts w:eastAsia="Times New Roman" w:cstheme="minorHAnsi"/>
          <w:i w:val="0"/>
          <w:sz w:val="22"/>
          <w:szCs w:val="22"/>
          <w:lang w:eastAsia="en-AU"/>
        </w:rPr>
        <w:t xml:space="preserve"> take any action incidental or conducive to the discharge of the above functions. </w:t>
      </w:r>
    </w:p>
    <w:p w:rsidR="006A73AA" w:rsidRPr="009D7699" w:rsidRDefault="00372DB5" w:rsidP="00016E67">
      <w:pPr>
        <w:spacing w:before="360" w:after="120" w:line="240" w:lineRule="auto"/>
        <w:rPr>
          <w:b/>
          <w:i w:val="0"/>
          <w:sz w:val="22"/>
          <w:szCs w:val="22"/>
        </w:rPr>
      </w:pPr>
      <w:r w:rsidRPr="009D7699">
        <w:rPr>
          <w:b/>
          <w:i w:val="0"/>
          <w:sz w:val="22"/>
          <w:szCs w:val="22"/>
        </w:rPr>
        <w:t>O</w:t>
      </w:r>
      <w:r w:rsidR="003275D2" w:rsidRPr="009D7699">
        <w:rPr>
          <w:b/>
          <w:i w:val="0"/>
          <w:sz w:val="22"/>
          <w:szCs w:val="22"/>
        </w:rPr>
        <w:t>ur objectives</w:t>
      </w:r>
    </w:p>
    <w:p w:rsidR="003275D2" w:rsidRPr="002F3BB0" w:rsidRDefault="003275D2" w:rsidP="006A4009">
      <w:pPr>
        <w:spacing w:after="120" w:line="240" w:lineRule="auto"/>
        <w:rPr>
          <w:rFonts w:eastAsia="Times New Roman" w:cstheme="minorHAnsi"/>
          <w:i w:val="0"/>
          <w:sz w:val="22"/>
          <w:szCs w:val="22"/>
          <w:lang w:eastAsia="en-AU"/>
        </w:rPr>
      </w:pPr>
      <w:r w:rsidRPr="002F3BB0">
        <w:rPr>
          <w:rFonts w:cstheme="minorHAnsi"/>
          <w:i w:val="0"/>
          <w:sz w:val="22"/>
          <w:szCs w:val="22"/>
        </w:rPr>
        <w:t xml:space="preserve">The Commission’s key objectives are to: </w:t>
      </w:r>
    </w:p>
    <w:p w:rsidR="003275D2"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provide a fair, timely and accessible complaint resolution service;</w:t>
      </w:r>
    </w:p>
    <w:p w:rsidR="003275D2"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provide information to the community about their rights and responsibilities under the Act;</w:t>
      </w:r>
    </w:p>
    <w:p w:rsidR="003275D2"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promote understanding, acceptance and public discussion of human rights in Queensland;</w:t>
      </w:r>
      <w:r w:rsidR="005B7166">
        <w:rPr>
          <w:rFonts w:eastAsia="Times New Roman" w:cstheme="minorHAnsi"/>
          <w:i w:val="0"/>
          <w:sz w:val="22"/>
          <w:szCs w:val="22"/>
          <w:lang w:eastAsia="en-AU"/>
        </w:rPr>
        <w:t xml:space="preserve"> and</w:t>
      </w:r>
    </w:p>
    <w:p w:rsidR="003275D2" w:rsidRPr="002F3BB0" w:rsidRDefault="003275D2" w:rsidP="00016E67">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2F3BB0">
        <w:rPr>
          <w:rFonts w:eastAsia="Times New Roman" w:cstheme="minorHAnsi"/>
          <w:i w:val="0"/>
          <w:sz w:val="22"/>
          <w:szCs w:val="22"/>
          <w:lang w:eastAsia="en-AU"/>
        </w:rPr>
        <w:t>create</w:t>
      </w:r>
      <w:proofErr w:type="gramEnd"/>
      <w:r w:rsidRPr="002F3BB0">
        <w:rPr>
          <w:rFonts w:eastAsia="Times New Roman" w:cstheme="minorHAnsi"/>
          <w:i w:val="0"/>
          <w:sz w:val="22"/>
          <w:szCs w:val="22"/>
          <w:lang w:eastAsia="en-AU"/>
        </w:rPr>
        <w:t xml:space="preserve"> opportunities for human rights to flourish.</w:t>
      </w:r>
    </w:p>
    <w:p w:rsidR="00DD7227" w:rsidRPr="009D7699" w:rsidRDefault="00974858" w:rsidP="00016E67">
      <w:pPr>
        <w:spacing w:before="360" w:after="120" w:line="240" w:lineRule="auto"/>
        <w:rPr>
          <w:b/>
          <w:i w:val="0"/>
          <w:sz w:val="22"/>
          <w:szCs w:val="22"/>
        </w:rPr>
      </w:pPr>
      <w:r w:rsidRPr="009D7699">
        <w:rPr>
          <w:b/>
          <w:i w:val="0"/>
          <w:sz w:val="22"/>
          <w:szCs w:val="22"/>
        </w:rPr>
        <w:t>O</w:t>
      </w:r>
      <w:r w:rsidR="00DD7227" w:rsidRPr="009D7699">
        <w:rPr>
          <w:b/>
          <w:i w:val="0"/>
          <w:sz w:val="22"/>
          <w:szCs w:val="22"/>
        </w:rPr>
        <w:t xml:space="preserve">ur </w:t>
      </w:r>
      <w:r w:rsidR="0071372B" w:rsidRPr="009D7699">
        <w:rPr>
          <w:b/>
          <w:i w:val="0"/>
          <w:sz w:val="22"/>
          <w:szCs w:val="22"/>
        </w:rPr>
        <w:t>services</w:t>
      </w:r>
    </w:p>
    <w:p w:rsidR="00D13B7C" w:rsidRPr="002F3BB0" w:rsidRDefault="00D13B7C" w:rsidP="00154A4D">
      <w:pPr>
        <w:spacing w:after="120" w:line="240" w:lineRule="auto"/>
        <w:rPr>
          <w:rFonts w:cstheme="minorHAnsi"/>
          <w:i w:val="0"/>
          <w:sz w:val="22"/>
          <w:szCs w:val="22"/>
        </w:rPr>
      </w:pPr>
      <w:r w:rsidRPr="002F3BB0">
        <w:rPr>
          <w:rFonts w:cstheme="minorHAnsi"/>
          <w:i w:val="0"/>
          <w:sz w:val="22"/>
          <w:szCs w:val="22"/>
        </w:rPr>
        <w:t xml:space="preserve">The Commission delivers frontline services to the Queensland community, including businesses, state and local government, the community sector and people throughout the state. </w:t>
      </w:r>
    </w:p>
    <w:p w:rsidR="00D13B7C" w:rsidRPr="002F3BB0" w:rsidRDefault="00D13B7C" w:rsidP="00154A4D">
      <w:pPr>
        <w:spacing w:after="120" w:line="240" w:lineRule="auto"/>
        <w:rPr>
          <w:rFonts w:cstheme="minorHAnsi"/>
          <w:i w:val="0"/>
          <w:sz w:val="22"/>
          <w:szCs w:val="22"/>
        </w:rPr>
      </w:pPr>
      <w:r w:rsidRPr="002F3BB0">
        <w:rPr>
          <w:rFonts w:cstheme="minorHAnsi"/>
          <w:i w:val="0"/>
          <w:sz w:val="22"/>
          <w:szCs w:val="22"/>
        </w:rPr>
        <w:t xml:space="preserve">Our services include: </w:t>
      </w:r>
    </w:p>
    <w:p w:rsidR="00D13B7C" w:rsidRPr="00237279" w:rsidRDefault="00D13B7C" w:rsidP="00154A4D">
      <w:pPr>
        <w:numPr>
          <w:ilvl w:val="0"/>
          <w:numId w:val="13"/>
        </w:numPr>
        <w:spacing w:before="120" w:after="0" w:line="240" w:lineRule="auto"/>
        <w:ind w:left="357" w:hanging="357"/>
        <w:rPr>
          <w:rFonts w:eastAsia="Times New Roman" w:cstheme="minorHAnsi"/>
          <w:i w:val="0"/>
          <w:sz w:val="22"/>
          <w:szCs w:val="22"/>
          <w:lang w:eastAsia="en-AU"/>
        </w:rPr>
      </w:pPr>
      <w:r w:rsidRPr="00237279">
        <w:rPr>
          <w:rFonts w:eastAsia="Times New Roman" w:cstheme="minorHAnsi"/>
          <w:i w:val="0"/>
          <w:sz w:val="22"/>
          <w:szCs w:val="22"/>
          <w:lang w:eastAsia="en-AU"/>
        </w:rPr>
        <w:t>resolving complaints received under the Act;</w:t>
      </w:r>
    </w:p>
    <w:p w:rsidR="00D13B7C" w:rsidRPr="00237279" w:rsidRDefault="00D13B7C" w:rsidP="00154A4D">
      <w:pPr>
        <w:numPr>
          <w:ilvl w:val="0"/>
          <w:numId w:val="13"/>
        </w:numPr>
        <w:spacing w:before="120" w:after="0" w:line="240" w:lineRule="auto"/>
        <w:ind w:left="357" w:hanging="357"/>
        <w:rPr>
          <w:rFonts w:eastAsia="Times New Roman" w:cstheme="minorHAnsi"/>
          <w:i w:val="0"/>
          <w:sz w:val="22"/>
          <w:szCs w:val="22"/>
          <w:lang w:eastAsia="en-AU"/>
        </w:rPr>
      </w:pPr>
      <w:r w:rsidRPr="00237279">
        <w:rPr>
          <w:rFonts w:eastAsia="Times New Roman" w:cstheme="minorHAnsi"/>
          <w:i w:val="0"/>
          <w:sz w:val="22"/>
          <w:szCs w:val="22"/>
          <w:lang w:eastAsia="en-AU"/>
        </w:rPr>
        <w:t>delivering training to business, government and the community; and</w:t>
      </w:r>
    </w:p>
    <w:p w:rsidR="00D13B7C" w:rsidRPr="002F3BB0" w:rsidRDefault="00D13B7C" w:rsidP="00154A4D">
      <w:pPr>
        <w:numPr>
          <w:ilvl w:val="0"/>
          <w:numId w:val="13"/>
        </w:numPr>
        <w:spacing w:before="120" w:after="0" w:line="240" w:lineRule="auto"/>
        <w:ind w:left="357" w:hanging="357"/>
        <w:rPr>
          <w:rFonts w:cstheme="minorHAnsi"/>
          <w:i w:val="0"/>
          <w:sz w:val="22"/>
          <w:szCs w:val="22"/>
        </w:rPr>
      </w:pPr>
      <w:proofErr w:type="gramStart"/>
      <w:r w:rsidRPr="00237279">
        <w:rPr>
          <w:rFonts w:eastAsia="Times New Roman" w:cstheme="minorHAnsi"/>
          <w:i w:val="0"/>
          <w:sz w:val="22"/>
          <w:szCs w:val="22"/>
          <w:lang w:eastAsia="en-AU"/>
        </w:rPr>
        <w:lastRenderedPageBreak/>
        <w:t>promoting</w:t>
      </w:r>
      <w:proofErr w:type="gramEnd"/>
      <w:r w:rsidRPr="00237279">
        <w:rPr>
          <w:rFonts w:eastAsia="Times New Roman" w:cstheme="minorHAnsi"/>
          <w:i w:val="0"/>
          <w:sz w:val="22"/>
          <w:szCs w:val="22"/>
          <w:lang w:eastAsia="en-AU"/>
        </w:rPr>
        <w:t xml:space="preserve"> public discussion of human rights through a variety of community engagement and communication</w:t>
      </w:r>
      <w:r w:rsidRPr="002F3BB0">
        <w:rPr>
          <w:rFonts w:cstheme="minorHAnsi"/>
          <w:i w:val="0"/>
          <w:sz w:val="22"/>
          <w:szCs w:val="22"/>
        </w:rPr>
        <w:t xml:space="preserve"> strategies</w:t>
      </w:r>
      <w:r w:rsidR="00192B54">
        <w:rPr>
          <w:rFonts w:cstheme="minorHAnsi"/>
          <w:i w:val="0"/>
          <w:sz w:val="22"/>
          <w:szCs w:val="22"/>
        </w:rPr>
        <w:t>.</w:t>
      </w:r>
    </w:p>
    <w:p w:rsidR="00555854" w:rsidRPr="002F3BB0" w:rsidRDefault="00D13B7C" w:rsidP="00154A4D">
      <w:pPr>
        <w:spacing w:before="240" w:after="0" w:line="240" w:lineRule="auto"/>
        <w:rPr>
          <w:rFonts w:cstheme="minorHAnsi"/>
          <w:i w:val="0"/>
          <w:sz w:val="22"/>
          <w:szCs w:val="22"/>
        </w:rPr>
      </w:pPr>
      <w:r w:rsidRPr="002F3BB0">
        <w:rPr>
          <w:rFonts w:cstheme="minorHAnsi"/>
          <w:i w:val="0"/>
          <w:sz w:val="22"/>
          <w:szCs w:val="22"/>
        </w:rPr>
        <w:t>More detail about how these services are delivered can be located in the relevant sections of this annual report.</w:t>
      </w:r>
    </w:p>
    <w:p w:rsidR="00DF3784" w:rsidRPr="009D7699" w:rsidRDefault="00DF3784" w:rsidP="00016E67">
      <w:pPr>
        <w:spacing w:before="360" w:after="120" w:line="240" w:lineRule="auto"/>
        <w:rPr>
          <w:b/>
          <w:i w:val="0"/>
          <w:sz w:val="22"/>
          <w:szCs w:val="22"/>
        </w:rPr>
      </w:pPr>
      <w:r w:rsidRPr="009D7699">
        <w:rPr>
          <w:b/>
          <w:i w:val="0"/>
          <w:sz w:val="22"/>
          <w:szCs w:val="22"/>
        </w:rPr>
        <w:t>Our people</w:t>
      </w:r>
    </w:p>
    <w:p w:rsidR="00F66757" w:rsidRPr="002F3BB0" w:rsidRDefault="00F66757" w:rsidP="00154A4D">
      <w:pPr>
        <w:spacing w:before="120" w:after="0" w:line="240" w:lineRule="auto"/>
        <w:rPr>
          <w:rFonts w:cstheme="minorHAnsi"/>
          <w:i w:val="0"/>
          <w:sz w:val="22"/>
          <w:szCs w:val="22"/>
        </w:rPr>
      </w:pPr>
      <w:bookmarkStart w:id="10" w:name="_Toc366482367"/>
      <w:bookmarkStart w:id="11" w:name="_Toc366487297"/>
      <w:r w:rsidRPr="002F3BB0">
        <w:rPr>
          <w:rFonts w:cstheme="minorHAnsi"/>
          <w:i w:val="0"/>
          <w:sz w:val="22"/>
          <w:szCs w:val="22"/>
        </w:rPr>
        <w:t xml:space="preserve">The ADCQ is led by the Anti-Discrimination Commissioner who </w:t>
      </w:r>
      <w:r w:rsidR="00AA23AF" w:rsidRPr="002F3BB0">
        <w:rPr>
          <w:rFonts w:cstheme="minorHAnsi"/>
          <w:i w:val="0"/>
          <w:sz w:val="22"/>
          <w:szCs w:val="22"/>
        </w:rPr>
        <w:t xml:space="preserve">is appointed by the Governor in Council and </w:t>
      </w:r>
      <w:r w:rsidRPr="002F3BB0">
        <w:rPr>
          <w:rFonts w:cstheme="minorHAnsi"/>
          <w:i w:val="0"/>
          <w:sz w:val="22"/>
          <w:szCs w:val="22"/>
        </w:rPr>
        <w:t xml:space="preserve">reports to Parliament </w:t>
      </w:r>
      <w:r w:rsidR="00192B54">
        <w:rPr>
          <w:rFonts w:cstheme="minorHAnsi"/>
          <w:i w:val="0"/>
          <w:sz w:val="22"/>
          <w:szCs w:val="22"/>
        </w:rPr>
        <w:t>through</w:t>
      </w:r>
      <w:r w:rsidR="00192B54" w:rsidRPr="002F3BB0">
        <w:rPr>
          <w:rFonts w:cstheme="minorHAnsi"/>
          <w:i w:val="0"/>
          <w:sz w:val="22"/>
          <w:szCs w:val="22"/>
        </w:rPr>
        <w:t xml:space="preserve"> </w:t>
      </w:r>
      <w:r w:rsidRPr="002F3BB0">
        <w:rPr>
          <w:rFonts w:cstheme="minorHAnsi"/>
          <w:i w:val="0"/>
          <w:sz w:val="22"/>
          <w:szCs w:val="22"/>
        </w:rPr>
        <w:t>the Attorney-General and Minister for Justice. Although overall accountability for ADCQ services rests with the Commissioner, direct management responsibility of the various teams within the ADCQ is shared between the Commissioner and the Deputy Commissioner.</w:t>
      </w:r>
      <w:bookmarkEnd w:id="10"/>
      <w:bookmarkEnd w:id="11"/>
    </w:p>
    <w:p w:rsidR="00675838" w:rsidRPr="002F3BB0" w:rsidRDefault="00675838" w:rsidP="00154A4D">
      <w:pPr>
        <w:spacing w:before="240" w:after="0" w:line="240" w:lineRule="auto"/>
        <w:rPr>
          <w:rFonts w:cstheme="minorHAnsi"/>
          <w:i w:val="0"/>
          <w:sz w:val="22"/>
          <w:szCs w:val="22"/>
        </w:rPr>
      </w:pPr>
      <w:r w:rsidRPr="002F3BB0">
        <w:rPr>
          <w:rFonts w:cstheme="minorHAnsi"/>
          <w:i w:val="0"/>
          <w:sz w:val="22"/>
          <w:szCs w:val="22"/>
        </w:rPr>
        <w:t xml:space="preserve">The Commission </w:t>
      </w:r>
      <w:r w:rsidR="00F06866">
        <w:rPr>
          <w:rFonts w:cstheme="minorHAnsi"/>
          <w:i w:val="0"/>
          <w:sz w:val="22"/>
          <w:szCs w:val="22"/>
        </w:rPr>
        <w:t xml:space="preserve">has </w:t>
      </w:r>
      <w:r w:rsidRPr="002F3BB0">
        <w:rPr>
          <w:rFonts w:cstheme="minorHAnsi"/>
          <w:i w:val="0"/>
          <w:sz w:val="22"/>
          <w:szCs w:val="22"/>
        </w:rPr>
        <w:t>four offices located in Brisbane, Rockhampton,</w:t>
      </w:r>
      <w:r w:rsidR="00F06866">
        <w:rPr>
          <w:rFonts w:cstheme="minorHAnsi"/>
          <w:i w:val="0"/>
          <w:sz w:val="22"/>
          <w:szCs w:val="22"/>
        </w:rPr>
        <w:t xml:space="preserve"> </w:t>
      </w:r>
      <w:r w:rsidRPr="002F3BB0">
        <w:rPr>
          <w:rFonts w:cstheme="minorHAnsi"/>
          <w:i w:val="0"/>
          <w:sz w:val="22"/>
          <w:szCs w:val="22"/>
        </w:rPr>
        <w:t>Townsville and Cairns</w:t>
      </w:r>
      <w:r w:rsidR="00E448B8">
        <w:rPr>
          <w:rFonts w:cstheme="minorHAnsi"/>
          <w:i w:val="0"/>
          <w:sz w:val="22"/>
          <w:szCs w:val="22"/>
        </w:rPr>
        <w:t xml:space="preserve"> </w:t>
      </w:r>
      <w:r w:rsidR="009A7751">
        <w:rPr>
          <w:rFonts w:cstheme="minorHAnsi"/>
          <w:i w:val="0"/>
          <w:sz w:val="22"/>
          <w:szCs w:val="22"/>
        </w:rPr>
        <w:t>which</w:t>
      </w:r>
      <w:r w:rsidR="00E448B8">
        <w:rPr>
          <w:rFonts w:cstheme="minorHAnsi"/>
          <w:i w:val="0"/>
          <w:sz w:val="22"/>
          <w:szCs w:val="22"/>
        </w:rPr>
        <w:t xml:space="preserve"> </w:t>
      </w:r>
      <w:r w:rsidR="00F06866">
        <w:rPr>
          <w:rFonts w:cstheme="minorHAnsi"/>
          <w:i w:val="0"/>
          <w:sz w:val="22"/>
          <w:szCs w:val="22"/>
        </w:rPr>
        <w:t xml:space="preserve">deliver </w:t>
      </w:r>
      <w:r w:rsidR="00F06866" w:rsidRPr="002F3BB0">
        <w:rPr>
          <w:rFonts w:cstheme="minorHAnsi"/>
          <w:i w:val="0"/>
          <w:sz w:val="22"/>
          <w:szCs w:val="22"/>
        </w:rPr>
        <w:t>services to the Queensland community</w:t>
      </w:r>
      <w:r w:rsidRPr="002F3BB0">
        <w:rPr>
          <w:rFonts w:cstheme="minorHAnsi"/>
          <w:i w:val="0"/>
          <w:sz w:val="22"/>
          <w:szCs w:val="22"/>
        </w:rPr>
        <w:t xml:space="preserve">. Each regional office performs a variety of functions including complaint management, training, community engagement and provision of information services directly to the public. The Brisbane office </w:t>
      </w:r>
      <w:r w:rsidR="005B7166">
        <w:rPr>
          <w:rFonts w:cstheme="minorHAnsi"/>
          <w:i w:val="0"/>
          <w:sz w:val="22"/>
          <w:szCs w:val="22"/>
        </w:rPr>
        <w:t xml:space="preserve">is </w:t>
      </w:r>
      <w:r w:rsidRPr="002F3BB0">
        <w:rPr>
          <w:rFonts w:cstheme="minorHAnsi"/>
          <w:i w:val="0"/>
          <w:sz w:val="22"/>
          <w:szCs w:val="22"/>
        </w:rPr>
        <w:t>responsibl</w:t>
      </w:r>
      <w:r w:rsidR="005B7166">
        <w:rPr>
          <w:rFonts w:cstheme="minorHAnsi"/>
          <w:i w:val="0"/>
          <w:sz w:val="22"/>
          <w:szCs w:val="22"/>
        </w:rPr>
        <w:t>e</w:t>
      </w:r>
      <w:r w:rsidRPr="002F3BB0">
        <w:rPr>
          <w:rFonts w:cstheme="minorHAnsi"/>
          <w:i w:val="0"/>
          <w:sz w:val="22"/>
          <w:szCs w:val="22"/>
        </w:rPr>
        <w:t xml:space="preserve"> for executive and corporate services. </w:t>
      </w:r>
    </w:p>
    <w:p w:rsidR="00F66757" w:rsidRPr="002F3BB0" w:rsidRDefault="00F66757" w:rsidP="00154A4D">
      <w:pPr>
        <w:shd w:val="clear" w:color="auto" w:fill="FFFFFF"/>
        <w:spacing w:before="240" w:after="0" w:line="240" w:lineRule="auto"/>
        <w:textAlignment w:val="baseline"/>
        <w:rPr>
          <w:rFonts w:eastAsia="Times New Roman" w:cstheme="minorHAnsi"/>
          <w:i w:val="0"/>
          <w:sz w:val="22"/>
          <w:szCs w:val="22"/>
          <w:lang w:eastAsia="en-AU"/>
        </w:rPr>
      </w:pPr>
      <w:r w:rsidRPr="002F3BB0">
        <w:rPr>
          <w:rFonts w:eastAsia="Times New Roman" w:cstheme="minorHAnsi"/>
          <w:i w:val="0"/>
          <w:sz w:val="22"/>
          <w:szCs w:val="22"/>
          <w:lang w:eastAsia="en-AU"/>
        </w:rPr>
        <w:t>The State Director (Complaint Management) has program responsibility for the provision of complaint management services throughout the state. The Brisbane Complaint Management Team:</w:t>
      </w:r>
    </w:p>
    <w:p w:rsidR="00F66757" w:rsidRPr="002F3BB0" w:rsidRDefault="005B7166" w:rsidP="00972E56">
      <w:pPr>
        <w:numPr>
          <w:ilvl w:val="0"/>
          <w:numId w:val="13"/>
        </w:numPr>
        <w:spacing w:before="120" w:after="0" w:line="240" w:lineRule="auto"/>
        <w:ind w:left="357" w:hanging="357"/>
        <w:rPr>
          <w:rFonts w:eastAsia="Times New Roman" w:cstheme="minorHAnsi"/>
          <w:i w:val="0"/>
          <w:sz w:val="22"/>
          <w:szCs w:val="22"/>
          <w:lang w:eastAsia="en-AU"/>
        </w:rPr>
      </w:pPr>
      <w:r>
        <w:rPr>
          <w:rFonts w:eastAsia="Times New Roman" w:cstheme="minorHAnsi"/>
          <w:i w:val="0"/>
          <w:sz w:val="22"/>
          <w:szCs w:val="22"/>
          <w:lang w:eastAsia="en-AU"/>
        </w:rPr>
        <w:t>m</w:t>
      </w:r>
      <w:r w:rsidR="00F66757" w:rsidRPr="002F3BB0">
        <w:rPr>
          <w:rFonts w:eastAsia="Times New Roman" w:cstheme="minorHAnsi"/>
          <w:i w:val="0"/>
          <w:sz w:val="22"/>
          <w:szCs w:val="22"/>
          <w:lang w:eastAsia="en-AU"/>
        </w:rPr>
        <w:t xml:space="preserve">anages the majority of complaints arising in </w:t>
      </w:r>
      <w:r>
        <w:rPr>
          <w:rFonts w:eastAsia="Times New Roman" w:cstheme="minorHAnsi"/>
          <w:i w:val="0"/>
          <w:sz w:val="22"/>
          <w:szCs w:val="22"/>
          <w:lang w:eastAsia="en-AU"/>
        </w:rPr>
        <w:t>S</w:t>
      </w:r>
      <w:r w:rsidR="00F66757" w:rsidRPr="002F3BB0">
        <w:rPr>
          <w:rFonts w:eastAsia="Times New Roman" w:cstheme="minorHAnsi"/>
          <w:i w:val="0"/>
          <w:sz w:val="22"/>
          <w:szCs w:val="22"/>
          <w:lang w:eastAsia="en-AU"/>
        </w:rPr>
        <w:t>outh-</w:t>
      </w:r>
      <w:r>
        <w:rPr>
          <w:rFonts w:eastAsia="Times New Roman" w:cstheme="minorHAnsi"/>
          <w:i w:val="0"/>
          <w:sz w:val="22"/>
          <w:szCs w:val="22"/>
          <w:lang w:eastAsia="en-AU"/>
        </w:rPr>
        <w:t>E</w:t>
      </w:r>
      <w:r w:rsidR="00F66757" w:rsidRPr="002F3BB0">
        <w:rPr>
          <w:rFonts w:eastAsia="Times New Roman" w:cstheme="minorHAnsi"/>
          <w:i w:val="0"/>
          <w:sz w:val="22"/>
          <w:szCs w:val="22"/>
          <w:lang w:eastAsia="en-AU"/>
        </w:rPr>
        <w:t>ast Queensland</w:t>
      </w:r>
      <w:r>
        <w:rPr>
          <w:rFonts w:eastAsia="Times New Roman" w:cstheme="minorHAnsi"/>
          <w:i w:val="0"/>
          <w:sz w:val="22"/>
          <w:szCs w:val="22"/>
          <w:lang w:eastAsia="en-AU"/>
        </w:rPr>
        <w:t>;</w:t>
      </w:r>
    </w:p>
    <w:p w:rsidR="00F66757" w:rsidRPr="002F3BB0" w:rsidRDefault="005B7166" w:rsidP="00972E56">
      <w:pPr>
        <w:numPr>
          <w:ilvl w:val="0"/>
          <w:numId w:val="13"/>
        </w:numPr>
        <w:spacing w:before="120" w:after="0" w:line="240" w:lineRule="auto"/>
        <w:ind w:left="357" w:hanging="357"/>
        <w:rPr>
          <w:rFonts w:eastAsia="Times New Roman" w:cstheme="minorHAnsi"/>
          <w:i w:val="0"/>
          <w:sz w:val="22"/>
          <w:szCs w:val="22"/>
          <w:lang w:eastAsia="en-AU"/>
        </w:rPr>
      </w:pPr>
      <w:r>
        <w:rPr>
          <w:rFonts w:eastAsia="Times New Roman" w:cstheme="minorHAnsi"/>
          <w:i w:val="0"/>
          <w:sz w:val="22"/>
          <w:szCs w:val="22"/>
          <w:lang w:eastAsia="en-AU"/>
        </w:rPr>
        <w:t>p</w:t>
      </w:r>
      <w:r w:rsidR="00F66757" w:rsidRPr="002F3BB0">
        <w:rPr>
          <w:rFonts w:eastAsia="Times New Roman" w:cstheme="minorHAnsi"/>
          <w:i w:val="0"/>
          <w:sz w:val="22"/>
          <w:szCs w:val="22"/>
          <w:lang w:eastAsia="en-AU"/>
        </w:rPr>
        <w:t>rovides information services to clients</w:t>
      </w:r>
      <w:r>
        <w:rPr>
          <w:rFonts w:eastAsia="Times New Roman" w:cstheme="minorHAnsi"/>
          <w:i w:val="0"/>
          <w:sz w:val="22"/>
          <w:szCs w:val="22"/>
          <w:lang w:eastAsia="en-AU"/>
        </w:rPr>
        <w:t>; and</w:t>
      </w:r>
    </w:p>
    <w:p w:rsidR="00F66757" w:rsidRPr="002F3BB0" w:rsidRDefault="005B7166" w:rsidP="00972E56">
      <w:pPr>
        <w:numPr>
          <w:ilvl w:val="0"/>
          <w:numId w:val="13"/>
        </w:numPr>
        <w:spacing w:before="120" w:after="0" w:line="240" w:lineRule="auto"/>
        <w:ind w:left="357" w:hanging="357"/>
        <w:rPr>
          <w:rFonts w:eastAsia="Times New Roman" w:cstheme="minorHAnsi"/>
          <w:i w:val="0"/>
          <w:sz w:val="22"/>
          <w:szCs w:val="22"/>
          <w:lang w:eastAsia="en-AU"/>
        </w:rPr>
      </w:pPr>
      <w:proofErr w:type="gramStart"/>
      <w:r>
        <w:rPr>
          <w:rFonts w:eastAsia="Times New Roman" w:cstheme="minorHAnsi"/>
          <w:i w:val="0"/>
          <w:sz w:val="22"/>
          <w:szCs w:val="22"/>
          <w:lang w:eastAsia="en-AU"/>
        </w:rPr>
        <w:t>p</w:t>
      </w:r>
      <w:r w:rsidR="00F66757" w:rsidRPr="002F3BB0">
        <w:rPr>
          <w:rFonts w:eastAsia="Times New Roman" w:cstheme="minorHAnsi"/>
          <w:i w:val="0"/>
          <w:sz w:val="22"/>
          <w:szCs w:val="22"/>
          <w:lang w:eastAsia="en-AU"/>
        </w:rPr>
        <w:t>articipates</w:t>
      </w:r>
      <w:proofErr w:type="gramEnd"/>
      <w:r w:rsidR="00F66757" w:rsidRPr="002F3BB0">
        <w:rPr>
          <w:rFonts w:eastAsia="Times New Roman" w:cstheme="minorHAnsi"/>
          <w:i w:val="0"/>
          <w:sz w:val="22"/>
          <w:szCs w:val="22"/>
          <w:lang w:eastAsia="en-AU"/>
        </w:rPr>
        <w:t xml:space="preserve"> in community engagement activities</w:t>
      </w:r>
      <w:r>
        <w:rPr>
          <w:rFonts w:eastAsia="Times New Roman" w:cstheme="minorHAnsi"/>
          <w:i w:val="0"/>
          <w:sz w:val="22"/>
          <w:szCs w:val="22"/>
          <w:lang w:eastAsia="en-AU"/>
        </w:rPr>
        <w:t>.</w:t>
      </w:r>
    </w:p>
    <w:p w:rsidR="00F66757" w:rsidRPr="002F3BB0" w:rsidRDefault="00F66757" w:rsidP="00D32A66">
      <w:pPr>
        <w:shd w:val="clear" w:color="auto" w:fill="FFFFFF"/>
        <w:spacing w:before="240" w:after="120" w:line="240" w:lineRule="auto"/>
        <w:textAlignment w:val="baseline"/>
        <w:rPr>
          <w:rFonts w:eastAsia="Times New Roman" w:cstheme="minorHAnsi"/>
          <w:i w:val="0"/>
          <w:sz w:val="22"/>
          <w:szCs w:val="22"/>
          <w:lang w:eastAsia="en-AU"/>
        </w:rPr>
      </w:pPr>
      <w:r w:rsidRPr="002F3BB0">
        <w:rPr>
          <w:rFonts w:eastAsia="Times New Roman" w:cstheme="minorHAnsi"/>
          <w:i w:val="0"/>
          <w:sz w:val="22"/>
          <w:szCs w:val="22"/>
          <w:lang w:eastAsia="en-AU"/>
        </w:rPr>
        <w:t>The Manager, Community Relations has program responsibility for the provision of community engagement services throughout the state.  The Brisbane Community Relations Team:</w:t>
      </w:r>
    </w:p>
    <w:p w:rsidR="00F66757" w:rsidRPr="002F3BB0" w:rsidRDefault="005B7166" w:rsidP="00972E56">
      <w:pPr>
        <w:numPr>
          <w:ilvl w:val="0"/>
          <w:numId w:val="13"/>
        </w:numPr>
        <w:spacing w:before="120" w:after="0" w:line="240" w:lineRule="auto"/>
        <w:ind w:left="357" w:hanging="357"/>
        <w:rPr>
          <w:rFonts w:eastAsia="Times New Roman" w:cstheme="minorHAnsi"/>
          <w:i w:val="0"/>
          <w:sz w:val="22"/>
          <w:szCs w:val="22"/>
          <w:lang w:eastAsia="en-AU"/>
        </w:rPr>
      </w:pPr>
      <w:r>
        <w:rPr>
          <w:rFonts w:eastAsia="Times New Roman" w:cstheme="minorHAnsi"/>
          <w:i w:val="0"/>
          <w:sz w:val="22"/>
          <w:szCs w:val="22"/>
          <w:lang w:eastAsia="en-AU"/>
        </w:rPr>
        <w:t>d</w:t>
      </w:r>
      <w:r w:rsidR="00F66757" w:rsidRPr="002F3BB0">
        <w:rPr>
          <w:rFonts w:eastAsia="Times New Roman" w:cstheme="minorHAnsi"/>
          <w:i w:val="0"/>
          <w:sz w:val="22"/>
          <w:szCs w:val="22"/>
          <w:lang w:eastAsia="en-AU"/>
        </w:rPr>
        <w:t xml:space="preserve">elivers training and community engagement activities - primarily focused on the </w:t>
      </w:r>
      <w:r>
        <w:rPr>
          <w:rFonts w:eastAsia="Times New Roman" w:cstheme="minorHAnsi"/>
          <w:i w:val="0"/>
          <w:sz w:val="22"/>
          <w:szCs w:val="22"/>
          <w:lang w:eastAsia="en-AU"/>
        </w:rPr>
        <w:t>S</w:t>
      </w:r>
      <w:r w:rsidR="00F66757" w:rsidRPr="002F3BB0">
        <w:rPr>
          <w:rFonts w:eastAsia="Times New Roman" w:cstheme="minorHAnsi"/>
          <w:i w:val="0"/>
          <w:sz w:val="22"/>
          <w:szCs w:val="22"/>
          <w:lang w:eastAsia="en-AU"/>
        </w:rPr>
        <w:t>outh-</w:t>
      </w:r>
      <w:r>
        <w:rPr>
          <w:rFonts w:eastAsia="Times New Roman" w:cstheme="minorHAnsi"/>
          <w:i w:val="0"/>
          <w:sz w:val="22"/>
          <w:szCs w:val="22"/>
          <w:lang w:eastAsia="en-AU"/>
        </w:rPr>
        <w:t>E</w:t>
      </w:r>
      <w:r w:rsidR="00F66757" w:rsidRPr="002F3BB0">
        <w:rPr>
          <w:rFonts w:eastAsia="Times New Roman" w:cstheme="minorHAnsi"/>
          <w:i w:val="0"/>
          <w:sz w:val="22"/>
          <w:szCs w:val="22"/>
          <w:lang w:eastAsia="en-AU"/>
        </w:rPr>
        <w:t>ast Queensland area</w:t>
      </w:r>
      <w:r>
        <w:rPr>
          <w:rFonts w:eastAsia="Times New Roman" w:cstheme="minorHAnsi"/>
          <w:i w:val="0"/>
          <w:sz w:val="22"/>
          <w:szCs w:val="22"/>
          <w:lang w:eastAsia="en-AU"/>
        </w:rPr>
        <w:t>; and</w:t>
      </w:r>
    </w:p>
    <w:p w:rsidR="00F66757" w:rsidRPr="002F3BB0" w:rsidRDefault="005B7166" w:rsidP="00972E56">
      <w:pPr>
        <w:numPr>
          <w:ilvl w:val="0"/>
          <w:numId w:val="13"/>
        </w:numPr>
        <w:spacing w:before="120" w:after="0" w:line="240" w:lineRule="auto"/>
        <w:ind w:left="357" w:hanging="357"/>
        <w:rPr>
          <w:rFonts w:eastAsia="Times New Roman" w:cstheme="minorHAnsi"/>
          <w:i w:val="0"/>
          <w:sz w:val="22"/>
          <w:szCs w:val="22"/>
          <w:lang w:eastAsia="en-AU"/>
        </w:rPr>
      </w:pPr>
      <w:proofErr w:type="gramStart"/>
      <w:r>
        <w:rPr>
          <w:rFonts w:eastAsia="Times New Roman" w:cstheme="minorHAnsi"/>
          <w:i w:val="0"/>
          <w:sz w:val="22"/>
          <w:szCs w:val="22"/>
          <w:lang w:eastAsia="en-AU"/>
        </w:rPr>
        <w:t>p</w:t>
      </w:r>
      <w:r w:rsidR="00F66757" w:rsidRPr="002F3BB0">
        <w:rPr>
          <w:rFonts w:eastAsia="Times New Roman" w:cstheme="minorHAnsi"/>
          <w:i w:val="0"/>
          <w:sz w:val="22"/>
          <w:szCs w:val="22"/>
          <w:lang w:eastAsia="en-AU"/>
        </w:rPr>
        <w:t>rovides</w:t>
      </w:r>
      <w:proofErr w:type="gramEnd"/>
      <w:r w:rsidR="00F66757" w:rsidRPr="002F3BB0">
        <w:rPr>
          <w:rFonts w:eastAsia="Times New Roman" w:cstheme="minorHAnsi"/>
          <w:i w:val="0"/>
          <w:sz w:val="22"/>
          <w:szCs w:val="22"/>
          <w:lang w:eastAsia="en-AU"/>
        </w:rPr>
        <w:t xml:space="preserve"> marketing and communication services</w:t>
      </w:r>
      <w:r>
        <w:rPr>
          <w:rFonts w:eastAsia="Times New Roman" w:cstheme="minorHAnsi"/>
          <w:i w:val="0"/>
          <w:sz w:val="22"/>
          <w:szCs w:val="22"/>
          <w:lang w:eastAsia="en-AU"/>
        </w:rPr>
        <w:t>.</w:t>
      </w:r>
    </w:p>
    <w:p w:rsidR="001652C8" w:rsidRPr="002F3BB0" w:rsidRDefault="00F66757" w:rsidP="00D32A66">
      <w:pPr>
        <w:shd w:val="clear" w:color="auto" w:fill="FFFFFF"/>
        <w:spacing w:before="240" w:after="120" w:line="240" w:lineRule="auto"/>
        <w:textAlignment w:val="baseline"/>
        <w:rPr>
          <w:rFonts w:eastAsia="Times New Roman" w:cstheme="minorHAnsi"/>
          <w:i w:val="0"/>
          <w:sz w:val="22"/>
          <w:szCs w:val="22"/>
          <w:lang w:eastAsia="en-AU"/>
        </w:rPr>
      </w:pPr>
      <w:r w:rsidRPr="002F3BB0">
        <w:rPr>
          <w:rFonts w:eastAsia="Times New Roman" w:cstheme="minorHAnsi"/>
          <w:i w:val="0"/>
          <w:sz w:val="22"/>
          <w:szCs w:val="22"/>
          <w:lang w:eastAsia="en-AU"/>
        </w:rPr>
        <w:t xml:space="preserve">The Corporate Services </w:t>
      </w:r>
      <w:r w:rsidR="005B7166">
        <w:rPr>
          <w:rFonts w:eastAsia="Times New Roman" w:cstheme="minorHAnsi"/>
          <w:i w:val="0"/>
          <w:sz w:val="22"/>
          <w:szCs w:val="22"/>
          <w:lang w:eastAsia="en-AU"/>
        </w:rPr>
        <w:t>t</w:t>
      </w:r>
      <w:r w:rsidRPr="002F3BB0">
        <w:rPr>
          <w:rFonts w:eastAsia="Times New Roman" w:cstheme="minorHAnsi"/>
          <w:i w:val="0"/>
          <w:sz w:val="22"/>
          <w:szCs w:val="22"/>
          <w:lang w:eastAsia="en-AU"/>
        </w:rPr>
        <w:t xml:space="preserve">eam </w:t>
      </w:r>
      <w:r w:rsidR="005B7166">
        <w:rPr>
          <w:rFonts w:eastAsia="Times New Roman" w:cstheme="minorHAnsi"/>
          <w:i w:val="0"/>
          <w:sz w:val="22"/>
          <w:szCs w:val="22"/>
          <w:lang w:eastAsia="en-AU"/>
        </w:rPr>
        <w:t xml:space="preserve">is located </w:t>
      </w:r>
      <w:r w:rsidRPr="002F3BB0">
        <w:rPr>
          <w:rFonts w:eastAsia="Times New Roman" w:cstheme="minorHAnsi"/>
          <w:i w:val="0"/>
          <w:sz w:val="22"/>
          <w:szCs w:val="22"/>
          <w:lang w:eastAsia="en-AU"/>
        </w:rPr>
        <w:t>in the Brisbane office of ADCQ. This team:</w:t>
      </w:r>
    </w:p>
    <w:p w:rsidR="001652C8" w:rsidRPr="002F3BB0" w:rsidRDefault="005B7166" w:rsidP="00154A4D">
      <w:pPr>
        <w:numPr>
          <w:ilvl w:val="0"/>
          <w:numId w:val="13"/>
        </w:numPr>
        <w:spacing w:before="120" w:after="0" w:line="240" w:lineRule="auto"/>
        <w:ind w:left="357" w:hanging="357"/>
        <w:rPr>
          <w:rFonts w:eastAsia="Times New Roman" w:cstheme="minorHAnsi"/>
          <w:i w:val="0"/>
          <w:sz w:val="22"/>
          <w:szCs w:val="22"/>
          <w:lang w:eastAsia="en-AU"/>
        </w:rPr>
      </w:pPr>
      <w:r>
        <w:rPr>
          <w:rFonts w:eastAsia="Times New Roman" w:cstheme="minorHAnsi"/>
          <w:i w:val="0"/>
          <w:sz w:val="22"/>
          <w:szCs w:val="22"/>
          <w:lang w:eastAsia="en-AU"/>
        </w:rPr>
        <w:t>l</w:t>
      </w:r>
      <w:r w:rsidR="00F66757" w:rsidRPr="002F3BB0">
        <w:rPr>
          <w:rFonts w:eastAsia="Times New Roman" w:cstheme="minorHAnsi"/>
          <w:i w:val="0"/>
          <w:sz w:val="22"/>
          <w:szCs w:val="22"/>
          <w:lang w:eastAsia="en-AU"/>
        </w:rPr>
        <w:t>eads and manages the ADCQ's administrative, financial, human resource, information technology, facilities and governance services</w:t>
      </w:r>
      <w:r>
        <w:rPr>
          <w:rFonts w:eastAsia="Times New Roman" w:cstheme="minorHAnsi"/>
          <w:i w:val="0"/>
          <w:sz w:val="22"/>
          <w:szCs w:val="22"/>
          <w:lang w:eastAsia="en-AU"/>
        </w:rPr>
        <w:t>; and</w:t>
      </w:r>
    </w:p>
    <w:p w:rsidR="00F66757" w:rsidRPr="002F3BB0" w:rsidRDefault="005B7166" w:rsidP="00154A4D">
      <w:pPr>
        <w:numPr>
          <w:ilvl w:val="0"/>
          <w:numId w:val="13"/>
        </w:numPr>
        <w:spacing w:before="120" w:after="0" w:line="240" w:lineRule="auto"/>
        <w:ind w:left="357" w:hanging="357"/>
        <w:rPr>
          <w:rFonts w:eastAsia="Times New Roman" w:cstheme="minorHAnsi"/>
          <w:i w:val="0"/>
          <w:sz w:val="22"/>
          <w:szCs w:val="22"/>
          <w:lang w:eastAsia="en-AU"/>
        </w:rPr>
      </w:pPr>
      <w:proofErr w:type="gramStart"/>
      <w:r>
        <w:rPr>
          <w:rFonts w:eastAsia="Times New Roman" w:cstheme="minorHAnsi"/>
          <w:i w:val="0"/>
          <w:sz w:val="22"/>
          <w:szCs w:val="22"/>
          <w:lang w:eastAsia="en-AU"/>
        </w:rPr>
        <w:t>p</w:t>
      </w:r>
      <w:r w:rsidR="00F66757" w:rsidRPr="002F3BB0">
        <w:rPr>
          <w:rFonts w:eastAsia="Times New Roman" w:cstheme="minorHAnsi"/>
          <w:i w:val="0"/>
          <w:sz w:val="22"/>
          <w:szCs w:val="22"/>
          <w:lang w:eastAsia="en-AU"/>
        </w:rPr>
        <w:t>articipates</w:t>
      </w:r>
      <w:proofErr w:type="gramEnd"/>
      <w:r w:rsidR="00F66757" w:rsidRPr="002F3BB0">
        <w:rPr>
          <w:rFonts w:eastAsia="Times New Roman" w:cstheme="minorHAnsi"/>
          <w:i w:val="0"/>
          <w:sz w:val="22"/>
          <w:szCs w:val="22"/>
          <w:lang w:eastAsia="en-AU"/>
        </w:rPr>
        <w:t xml:space="preserve"> in community engagement activities</w:t>
      </w:r>
      <w:r>
        <w:rPr>
          <w:rFonts w:eastAsia="Times New Roman" w:cstheme="minorHAnsi"/>
          <w:i w:val="0"/>
          <w:sz w:val="22"/>
          <w:szCs w:val="22"/>
          <w:lang w:eastAsia="en-AU"/>
        </w:rPr>
        <w:t>.</w:t>
      </w:r>
    </w:p>
    <w:p w:rsidR="00F66757" w:rsidRPr="002F3BB0" w:rsidRDefault="00F66757" w:rsidP="00D32A66">
      <w:pPr>
        <w:shd w:val="clear" w:color="auto" w:fill="FFFFFF"/>
        <w:spacing w:before="240" w:after="120" w:line="240" w:lineRule="auto"/>
        <w:textAlignment w:val="baseline"/>
        <w:rPr>
          <w:rFonts w:eastAsia="Times New Roman" w:cstheme="minorHAnsi"/>
          <w:i w:val="0"/>
          <w:sz w:val="22"/>
          <w:szCs w:val="22"/>
          <w:lang w:eastAsia="en-AU"/>
        </w:rPr>
      </w:pPr>
      <w:bookmarkStart w:id="12" w:name="_Toc366482368"/>
      <w:bookmarkStart w:id="13" w:name="_Toc366487298"/>
      <w:r w:rsidRPr="002F3BB0">
        <w:rPr>
          <w:rFonts w:eastAsia="Times New Roman" w:cstheme="minorHAnsi"/>
          <w:i w:val="0"/>
          <w:sz w:val="22"/>
          <w:szCs w:val="22"/>
          <w:lang w:eastAsia="en-AU"/>
        </w:rPr>
        <w:t xml:space="preserve">Executive, </w:t>
      </w:r>
      <w:r w:rsidR="005B7166">
        <w:rPr>
          <w:rFonts w:eastAsia="Times New Roman" w:cstheme="minorHAnsi"/>
          <w:i w:val="0"/>
          <w:sz w:val="22"/>
          <w:szCs w:val="22"/>
          <w:lang w:eastAsia="en-AU"/>
        </w:rPr>
        <w:t>l</w:t>
      </w:r>
      <w:r w:rsidRPr="002F3BB0">
        <w:rPr>
          <w:rFonts w:eastAsia="Times New Roman" w:cstheme="minorHAnsi"/>
          <w:i w:val="0"/>
          <w:sz w:val="22"/>
          <w:szCs w:val="22"/>
          <w:lang w:eastAsia="en-AU"/>
        </w:rPr>
        <w:t xml:space="preserve">egal and </w:t>
      </w:r>
      <w:r w:rsidR="005B7166">
        <w:rPr>
          <w:rFonts w:eastAsia="Times New Roman" w:cstheme="minorHAnsi"/>
          <w:i w:val="0"/>
          <w:sz w:val="22"/>
          <w:szCs w:val="22"/>
          <w:lang w:eastAsia="en-AU"/>
        </w:rPr>
        <w:t>r</w:t>
      </w:r>
      <w:r w:rsidRPr="002F3BB0">
        <w:rPr>
          <w:rFonts w:eastAsia="Times New Roman" w:cstheme="minorHAnsi"/>
          <w:i w:val="0"/>
          <w:sz w:val="22"/>
          <w:szCs w:val="22"/>
          <w:lang w:eastAsia="en-AU"/>
        </w:rPr>
        <w:t xml:space="preserve">esearch </w:t>
      </w:r>
      <w:r w:rsidR="005B7166">
        <w:rPr>
          <w:rFonts w:eastAsia="Times New Roman" w:cstheme="minorHAnsi"/>
          <w:i w:val="0"/>
          <w:sz w:val="22"/>
          <w:szCs w:val="22"/>
          <w:lang w:eastAsia="en-AU"/>
        </w:rPr>
        <w:t>s</w:t>
      </w:r>
      <w:r w:rsidRPr="002F3BB0">
        <w:rPr>
          <w:rFonts w:eastAsia="Times New Roman" w:cstheme="minorHAnsi"/>
          <w:i w:val="0"/>
          <w:sz w:val="22"/>
          <w:szCs w:val="22"/>
          <w:lang w:eastAsia="en-AU"/>
        </w:rPr>
        <w:t>ervices within ADCQ are undertaken by</w:t>
      </w:r>
      <w:r w:rsidR="00D0645D">
        <w:rPr>
          <w:rFonts w:eastAsia="Times New Roman" w:cstheme="minorHAnsi"/>
          <w:i w:val="0"/>
          <w:sz w:val="22"/>
          <w:szCs w:val="22"/>
          <w:lang w:eastAsia="en-AU"/>
        </w:rPr>
        <w:t xml:space="preserve"> the Human Rights Policy and Research Unit</w:t>
      </w:r>
      <w:r w:rsidRPr="002F3BB0">
        <w:rPr>
          <w:rFonts w:eastAsia="Times New Roman" w:cstheme="minorHAnsi"/>
          <w:i w:val="0"/>
          <w:sz w:val="22"/>
          <w:szCs w:val="22"/>
          <w:lang w:eastAsia="en-AU"/>
        </w:rPr>
        <w:t>. Th</w:t>
      </w:r>
      <w:r w:rsidR="001652C8" w:rsidRPr="002F3BB0">
        <w:rPr>
          <w:rFonts w:eastAsia="Times New Roman" w:cstheme="minorHAnsi"/>
          <w:i w:val="0"/>
          <w:sz w:val="22"/>
          <w:szCs w:val="22"/>
          <w:lang w:eastAsia="en-AU"/>
        </w:rPr>
        <w:t xml:space="preserve">is </w:t>
      </w:r>
      <w:r w:rsidRPr="002F3BB0">
        <w:rPr>
          <w:rFonts w:eastAsia="Times New Roman" w:cstheme="minorHAnsi"/>
          <w:i w:val="0"/>
          <w:sz w:val="22"/>
          <w:szCs w:val="22"/>
          <w:lang w:eastAsia="en-AU"/>
        </w:rPr>
        <w:t>team comprises the Deputy Commissioner, Principal Lawyer, Co-ordinator of the A</w:t>
      </w:r>
      <w:r w:rsidR="005B7166">
        <w:rPr>
          <w:rFonts w:eastAsia="Times New Roman" w:cstheme="minorHAnsi"/>
          <w:i w:val="0"/>
          <w:sz w:val="22"/>
          <w:szCs w:val="22"/>
          <w:lang w:eastAsia="en-AU"/>
        </w:rPr>
        <w:t>boriginal and Torres Strait Islander</w:t>
      </w:r>
      <w:r w:rsidRPr="002F3BB0">
        <w:rPr>
          <w:rFonts w:eastAsia="Times New Roman" w:cstheme="minorHAnsi"/>
          <w:i w:val="0"/>
          <w:sz w:val="22"/>
          <w:szCs w:val="22"/>
          <w:lang w:eastAsia="en-AU"/>
        </w:rPr>
        <w:t xml:space="preserve"> Unit and the Librarian.  As a unit, their role is to:</w:t>
      </w:r>
      <w:bookmarkEnd w:id="12"/>
      <w:bookmarkEnd w:id="13"/>
    </w:p>
    <w:p w:rsidR="00F66757" w:rsidRPr="002F3BB0" w:rsidRDefault="005B7166" w:rsidP="00D32A66">
      <w:pPr>
        <w:numPr>
          <w:ilvl w:val="0"/>
          <w:numId w:val="13"/>
        </w:numPr>
        <w:spacing w:before="120" w:after="0" w:line="240" w:lineRule="auto"/>
        <w:ind w:left="357" w:hanging="357"/>
        <w:rPr>
          <w:rFonts w:eastAsia="Times New Roman" w:cstheme="minorHAnsi"/>
          <w:i w:val="0"/>
          <w:sz w:val="22"/>
          <w:szCs w:val="22"/>
          <w:lang w:eastAsia="en-AU"/>
        </w:rPr>
      </w:pPr>
      <w:r>
        <w:rPr>
          <w:rFonts w:eastAsia="Times New Roman" w:cstheme="minorHAnsi"/>
          <w:i w:val="0"/>
          <w:sz w:val="22"/>
          <w:szCs w:val="22"/>
          <w:lang w:eastAsia="en-AU"/>
        </w:rPr>
        <w:t>p</w:t>
      </w:r>
      <w:r w:rsidR="00F66757" w:rsidRPr="002F3BB0">
        <w:rPr>
          <w:rFonts w:eastAsia="Times New Roman" w:cstheme="minorHAnsi"/>
          <w:i w:val="0"/>
          <w:sz w:val="22"/>
          <w:szCs w:val="22"/>
          <w:lang w:eastAsia="en-AU"/>
        </w:rPr>
        <w:t>rovide executive support and legal services</w:t>
      </w:r>
      <w:r>
        <w:rPr>
          <w:rFonts w:eastAsia="Times New Roman" w:cstheme="minorHAnsi"/>
          <w:i w:val="0"/>
          <w:sz w:val="22"/>
          <w:szCs w:val="22"/>
          <w:lang w:eastAsia="en-AU"/>
        </w:rPr>
        <w:t>;</w:t>
      </w:r>
    </w:p>
    <w:p w:rsidR="00F66757" w:rsidRPr="002F3BB0" w:rsidRDefault="005B7166" w:rsidP="00D32A66">
      <w:pPr>
        <w:numPr>
          <w:ilvl w:val="0"/>
          <w:numId w:val="13"/>
        </w:numPr>
        <w:spacing w:before="120" w:after="0" w:line="240" w:lineRule="auto"/>
        <w:ind w:left="357" w:hanging="357"/>
        <w:rPr>
          <w:rFonts w:eastAsia="Times New Roman" w:cstheme="minorHAnsi"/>
          <w:i w:val="0"/>
          <w:sz w:val="22"/>
          <w:szCs w:val="22"/>
          <w:lang w:eastAsia="en-AU"/>
        </w:rPr>
      </w:pPr>
      <w:r>
        <w:rPr>
          <w:rFonts w:eastAsia="Times New Roman" w:cstheme="minorHAnsi"/>
          <w:i w:val="0"/>
          <w:sz w:val="22"/>
          <w:szCs w:val="22"/>
          <w:lang w:eastAsia="en-AU"/>
        </w:rPr>
        <w:t>d</w:t>
      </w:r>
      <w:r w:rsidR="00F66757" w:rsidRPr="002F3BB0">
        <w:rPr>
          <w:rFonts w:eastAsia="Times New Roman" w:cstheme="minorHAnsi"/>
          <w:i w:val="0"/>
          <w:sz w:val="22"/>
          <w:szCs w:val="22"/>
          <w:lang w:eastAsia="en-AU"/>
        </w:rPr>
        <w:t>evelop human rights policy and undertakes research on human rights issues</w:t>
      </w:r>
      <w:r>
        <w:rPr>
          <w:rFonts w:eastAsia="Times New Roman" w:cstheme="minorHAnsi"/>
          <w:i w:val="0"/>
          <w:sz w:val="22"/>
          <w:szCs w:val="22"/>
          <w:lang w:eastAsia="en-AU"/>
        </w:rPr>
        <w:t>; and</w:t>
      </w:r>
    </w:p>
    <w:p w:rsidR="00F66757" w:rsidRPr="002F3BB0" w:rsidRDefault="005B7166" w:rsidP="00D32A66">
      <w:pPr>
        <w:numPr>
          <w:ilvl w:val="0"/>
          <w:numId w:val="13"/>
        </w:numPr>
        <w:spacing w:before="120" w:after="0" w:line="240" w:lineRule="auto"/>
        <w:ind w:left="357" w:hanging="357"/>
        <w:rPr>
          <w:rFonts w:eastAsia="Times New Roman" w:cstheme="minorHAnsi"/>
          <w:i w:val="0"/>
          <w:sz w:val="22"/>
          <w:szCs w:val="22"/>
          <w:lang w:eastAsia="en-AU"/>
        </w:rPr>
      </w:pPr>
      <w:proofErr w:type="gramStart"/>
      <w:r>
        <w:rPr>
          <w:rFonts w:eastAsia="Times New Roman" w:cstheme="minorHAnsi"/>
          <w:i w:val="0"/>
          <w:sz w:val="22"/>
          <w:szCs w:val="22"/>
          <w:lang w:eastAsia="en-AU"/>
        </w:rPr>
        <w:t>p</w:t>
      </w:r>
      <w:r w:rsidR="00F66757" w:rsidRPr="002F3BB0">
        <w:rPr>
          <w:rFonts w:eastAsia="Times New Roman" w:cstheme="minorHAnsi"/>
          <w:i w:val="0"/>
          <w:sz w:val="22"/>
          <w:szCs w:val="22"/>
          <w:lang w:eastAsia="en-AU"/>
        </w:rPr>
        <w:t>articipate</w:t>
      </w:r>
      <w:proofErr w:type="gramEnd"/>
      <w:r w:rsidR="00F66757" w:rsidRPr="002F3BB0">
        <w:rPr>
          <w:rFonts w:eastAsia="Times New Roman" w:cstheme="minorHAnsi"/>
          <w:i w:val="0"/>
          <w:sz w:val="22"/>
          <w:szCs w:val="22"/>
          <w:lang w:eastAsia="en-AU"/>
        </w:rPr>
        <w:t xml:space="preserve"> in community engagement activities</w:t>
      </w:r>
      <w:r>
        <w:rPr>
          <w:rFonts w:eastAsia="Times New Roman" w:cstheme="minorHAnsi"/>
          <w:i w:val="0"/>
          <w:sz w:val="22"/>
          <w:szCs w:val="22"/>
          <w:lang w:eastAsia="en-AU"/>
        </w:rPr>
        <w:t>.</w:t>
      </w:r>
    </w:p>
    <w:p w:rsidR="00F66757" w:rsidRPr="00154A4D" w:rsidRDefault="0040262E" w:rsidP="00D32A66">
      <w:pPr>
        <w:spacing w:before="240" w:after="120" w:line="240" w:lineRule="auto"/>
        <w:rPr>
          <w:rFonts w:eastAsia="Times New Roman" w:cstheme="minorHAnsi"/>
          <w:i w:val="0"/>
          <w:sz w:val="22"/>
          <w:szCs w:val="22"/>
          <w:lang w:eastAsia="en-AU"/>
        </w:rPr>
      </w:pPr>
      <w:r w:rsidRPr="00154A4D">
        <w:rPr>
          <w:rFonts w:eastAsia="Times New Roman" w:cstheme="minorHAnsi"/>
          <w:i w:val="0"/>
          <w:sz w:val="22"/>
          <w:szCs w:val="22"/>
          <w:lang w:eastAsia="en-AU"/>
        </w:rPr>
        <w:t>The ADCQ organisational structure</w:t>
      </w:r>
      <w:r w:rsidR="00F55346" w:rsidRPr="00154A4D">
        <w:rPr>
          <w:rFonts w:eastAsia="Times New Roman" w:cstheme="minorHAnsi"/>
          <w:i w:val="0"/>
          <w:sz w:val="22"/>
          <w:szCs w:val="22"/>
          <w:lang w:eastAsia="en-AU"/>
        </w:rPr>
        <w:t xml:space="preserve">, </w:t>
      </w:r>
      <w:r w:rsidR="00D1141A" w:rsidRPr="00154A4D">
        <w:rPr>
          <w:rFonts w:eastAsia="Times New Roman" w:cstheme="minorHAnsi"/>
          <w:i w:val="0"/>
          <w:sz w:val="22"/>
          <w:szCs w:val="22"/>
          <w:lang w:eastAsia="en-AU"/>
        </w:rPr>
        <w:t>from a functional perspective,</w:t>
      </w:r>
      <w:r w:rsidRPr="00154A4D">
        <w:rPr>
          <w:rFonts w:eastAsia="Times New Roman" w:cstheme="minorHAnsi"/>
          <w:i w:val="0"/>
          <w:sz w:val="22"/>
          <w:szCs w:val="22"/>
          <w:lang w:eastAsia="en-AU"/>
        </w:rPr>
        <w:t xml:space="preserve"> is available at Appendix </w:t>
      </w:r>
      <w:r w:rsidR="00675838" w:rsidRPr="00154A4D">
        <w:rPr>
          <w:rFonts w:eastAsia="Times New Roman" w:cstheme="minorHAnsi"/>
          <w:i w:val="0"/>
          <w:sz w:val="22"/>
          <w:szCs w:val="22"/>
          <w:lang w:eastAsia="en-AU"/>
        </w:rPr>
        <w:t>E.</w:t>
      </w:r>
    </w:p>
    <w:p w:rsidR="008B2125" w:rsidRPr="002A0F92" w:rsidRDefault="008B2125" w:rsidP="006A4009">
      <w:pPr>
        <w:pStyle w:val="Heading1"/>
        <w:pageBreakBefore/>
        <w:spacing w:after="120"/>
        <w:rPr>
          <w:rFonts w:asciiTheme="minorHAnsi" w:eastAsia="Times New Roman" w:hAnsiTheme="minorHAnsi" w:cstheme="minorHAnsi"/>
          <w:i w:val="0"/>
          <w:color w:val="auto"/>
          <w:lang w:eastAsia="en-AU"/>
        </w:rPr>
      </w:pPr>
      <w:bookmarkStart w:id="14" w:name="_Toc366487299"/>
      <w:bookmarkStart w:id="15" w:name="_Toc397345678"/>
      <w:r w:rsidRPr="002A0F92">
        <w:rPr>
          <w:rFonts w:asciiTheme="minorHAnsi" w:eastAsia="Times New Roman" w:hAnsiTheme="minorHAnsi" w:cstheme="minorHAnsi"/>
          <w:i w:val="0"/>
          <w:color w:val="auto"/>
          <w:lang w:eastAsia="en-AU"/>
        </w:rPr>
        <w:lastRenderedPageBreak/>
        <w:t xml:space="preserve">Performance </w:t>
      </w:r>
      <w:r w:rsidR="00406669">
        <w:rPr>
          <w:rFonts w:asciiTheme="minorHAnsi" w:eastAsia="Times New Roman" w:hAnsiTheme="minorHAnsi" w:cstheme="minorHAnsi"/>
          <w:i w:val="0"/>
          <w:color w:val="auto"/>
          <w:lang w:eastAsia="en-AU"/>
        </w:rPr>
        <w:t>S</w:t>
      </w:r>
      <w:r w:rsidRPr="002A0F92">
        <w:rPr>
          <w:rFonts w:asciiTheme="minorHAnsi" w:eastAsia="Times New Roman" w:hAnsiTheme="minorHAnsi" w:cstheme="minorHAnsi"/>
          <w:i w:val="0"/>
          <w:color w:val="auto"/>
          <w:lang w:eastAsia="en-AU"/>
        </w:rPr>
        <w:t>tatement 201</w:t>
      </w:r>
      <w:r w:rsidR="007A7555">
        <w:rPr>
          <w:rFonts w:asciiTheme="minorHAnsi" w:eastAsia="Times New Roman" w:hAnsiTheme="minorHAnsi" w:cstheme="minorHAnsi"/>
          <w:i w:val="0"/>
          <w:color w:val="auto"/>
          <w:lang w:eastAsia="en-AU"/>
        </w:rPr>
        <w:t>3</w:t>
      </w:r>
      <w:r w:rsidRPr="002A0F92">
        <w:rPr>
          <w:rFonts w:asciiTheme="minorHAnsi" w:eastAsia="Times New Roman" w:hAnsiTheme="minorHAnsi" w:cstheme="minorHAnsi"/>
          <w:i w:val="0"/>
          <w:color w:val="auto"/>
          <w:lang w:eastAsia="en-AU"/>
        </w:rPr>
        <w:t>-1</w:t>
      </w:r>
      <w:bookmarkEnd w:id="14"/>
      <w:r w:rsidR="00A83182">
        <w:rPr>
          <w:rFonts w:asciiTheme="minorHAnsi" w:eastAsia="Times New Roman" w:hAnsiTheme="minorHAnsi" w:cstheme="minorHAnsi"/>
          <w:i w:val="0"/>
          <w:color w:val="auto"/>
          <w:lang w:eastAsia="en-AU"/>
        </w:rPr>
        <w:t>4</w:t>
      </w:r>
      <w:bookmarkEnd w:id="15"/>
    </w:p>
    <w:p w:rsidR="00080DE8" w:rsidRPr="002F3BB0" w:rsidRDefault="00080DE8" w:rsidP="00972E56">
      <w:pPr>
        <w:spacing w:before="120" w:after="0" w:line="240" w:lineRule="auto"/>
        <w:rPr>
          <w:rFonts w:cstheme="minorHAnsi"/>
          <w:i w:val="0"/>
          <w:sz w:val="22"/>
          <w:szCs w:val="22"/>
        </w:rPr>
      </w:pPr>
      <w:r w:rsidRPr="002A0F92">
        <w:rPr>
          <w:rFonts w:cstheme="minorHAnsi"/>
          <w:i w:val="0"/>
          <w:sz w:val="22"/>
          <w:szCs w:val="22"/>
        </w:rPr>
        <w:t>The ADCQ performed strongly throughout the 201</w:t>
      </w:r>
      <w:r w:rsidR="007A7555">
        <w:rPr>
          <w:rFonts w:cstheme="minorHAnsi"/>
          <w:i w:val="0"/>
          <w:sz w:val="22"/>
          <w:szCs w:val="22"/>
        </w:rPr>
        <w:t>3</w:t>
      </w:r>
      <w:r w:rsidRPr="002A0F92">
        <w:rPr>
          <w:rFonts w:cstheme="minorHAnsi"/>
          <w:i w:val="0"/>
          <w:sz w:val="22"/>
          <w:szCs w:val="22"/>
        </w:rPr>
        <w:t>-1</w:t>
      </w:r>
      <w:r w:rsidR="007A7555">
        <w:rPr>
          <w:rFonts w:cstheme="minorHAnsi"/>
          <w:i w:val="0"/>
          <w:sz w:val="22"/>
          <w:szCs w:val="22"/>
        </w:rPr>
        <w:t>4</w:t>
      </w:r>
      <w:r w:rsidRPr="002A0F92">
        <w:rPr>
          <w:rFonts w:cstheme="minorHAnsi"/>
          <w:i w:val="0"/>
          <w:sz w:val="22"/>
          <w:szCs w:val="22"/>
        </w:rPr>
        <w:t xml:space="preserve"> financial year, meeting or exceeding the </w:t>
      </w:r>
      <w:r w:rsidRPr="002F3BB0">
        <w:rPr>
          <w:rFonts w:cstheme="minorHAnsi"/>
          <w:i w:val="0"/>
          <w:sz w:val="22"/>
          <w:szCs w:val="22"/>
        </w:rPr>
        <w:t>majority of performance targets across core service delivery areas. Highlights include</w:t>
      </w:r>
      <w:r w:rsidR="00E4661C">
        <w:rPr>
          <w:rFonts w:cstheme="minorHAnsi"/>
          <w:i w:val="0"/>
          <w:sz w:val="22"/>
          <w:szCs w:val="22"/>
        </w:rPr>
        <w:t>d</w:t>
      </w:r>
      <w:r w:rsidRPr="002F3BB0">
        <w:rPr>
          <w:rFonts w:cstheme="minorHAnsi"/>
          <w:i w:val="0"/>
          <w:sz w:val="22"/>
          <w:szCs w:val="22"/>
        </w:rPr>
        <w:t>:</w:t>
      </w:r>
    </w:p>
    <w:p w:rsidR="00080DE8" w:rsidRPr="002F3BB0" w:rsidRDefault="00080DE8" w:rsidP="00972E56">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 xml:space="preserve">resolving </w:t>
      </w:r>
      <w:r w:rsidR="00EE52CC" w:rsidRPr="002F3BB0">
        <w:rPr>
          <w:rFonts w:eastAsia="Times New Roman" w:cstheme="minorHAnsi"/>
          <w:i w:val="0"/>
          <w:sz w:val="22"/>
          <w:szCs w:val="22"/>
          <w:lang w:eastAsia="en-AU"/>
        </w:rPr>
        <w:t>60</w:t>
      </w:r>
      <w:r w:rsidRPr="002F3BB0">
        <w:rPr>
          <w:rFonts w:eastAsia="Times New Roman" w:cstheme="minorHAnsi"/>
          <w:i w:val="0"/>
          <w:sz w:val="22"/>
          <w:szCs w:val="22"/>
          <w:lang w:eastAsia="en-AU"/>
        </w:rPr>
        <w:t xml:space="preserve"> per cent of accepted complaints </w:t>
      </w:r>
      <w:r w:rsidR="00EE52CC" w:rsidRPr="002F3BB0">
        <w:rPr>
          <w:rFonts w:eastAsia="Times New Roman" w:cstheme="minorHAnsi"/>
          <w:i w:val="0"/>
          <w:sz w:val="22"/>
          <w:szCs w:val="22"/>
          <w:lang w:eastAsia="en-AU"/>
        </w:rPr>
        <w:t>, with 86% of clients being satisfied with the complaint handling service</w:t>
      </w:r>
      <w:r w:rsidR="00892977" w:rsidRPr="002F3BB0">
        <w:rPr>
          <w:rFonts w:eastAsia="Times New Roman" w:cstheme="minorHAnsi"/>
          <w:i w:val="0"/>
          <w:sz w:val="22"/>
          <w:szCs w:val="22"/>
          <w:lang w:eastAsia="en-AU"/>
        </w:rPr>
        <w:t>;</w:t>
      </w:r>
    </w:p>
    <w:p w:rsidR="00080DE8" w:rsidRPr="002F3BB0" w:rsidRDefault="00080DE8" w:rsidP="00972E56">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 xml:space="preserve">delivering training to </w:t>
      </w:r>
      <w:r w:rsidR="00892977" w:rsidRPr="002F3BB0">
        <w:rPr>
          <w:rFonts w:eastAsia="Times New Roman" w:cstheme="minorHAnsi"/>
          <w:i w:val="0"/>
          <w:sz w:val="22"/>
          <w:szCs w:val="22"/>
          <w:lang w:eastAsia="en-AU"/>
        </w:rPr>
        <w:t>4</w:t>
      </w:r>
      <w:r w:rsidR="00E4661C">
        <w:rPr>
          <w:rFonts w:eastAsia="Times New Roman" w:cstheme="minorHAnsi"/>
          <w:i w:val="0"/>
          <w:sz w:val="22"/>
          <w:szCs w:val="22"/>
          <w:lang w:eastAsia="en-AU"/>
        </w:rPr>
        <w:t>,</w:t>
      </w:r>
      <w:r w:rsidR="00892977" w:rsidRPr="002F3BB0">
        <w:rPr>
          <w:rFonts w:eastAsia="Times New Roman" w:cstheme="minorHAnsi"/>
          <w:i w:val="0"/>
          <w:sz w:val="22"/>
          <w:szCs w:val="22"/>
          <w:lang w:eastAsia="en-AU"/>
        </w:rPr>
        <w:t xml:space="preserve">099 </w:t>
      </w:r>
      <w:r w:rsidRPr="002F3BB0">
        <w:rPr>
          <w:rFonts w:eastAsia="Times New Roman" w:cstheme="minorHAnsi"/>
          <w:i w:val="0"/>
          <w:sz w:val="22"/>
          <w:szCs w:val="22"/>
          <w:lang w:eastAsia="en-AU"/>
        </w:rPr>
        <w:t>people and achieving an average 9</w:t>
      </w:r>
      <w:r w:rsidR="00EE52CC" w:rsidRPr="002F3BB0">
        <w:rPr>
          <w:rFonts w:eastAsia="Times New Roman" w:cstheme="minorHAnsi"/>
          <w:i w:val="0"/>
          <w:sz w:val="22"/>
          <w:szCs w:val="22"/>
          <w:lang w:eastAsia="en-AU"/>
        </w:rPr>
        <w:t>5</w:t>
      </w:r>
      <w:r w:rsidRPr="002F3BB0">
        <w:rPr>
          <w:rFonts w:eastAsia="Times New Roman" w:cstheme="minorHAnsi"/>
          <w:i w:val="0"/>
          <w:sz w:val="22"/>
          <w:szCs w:val="22"/>
          <w:lang w:eastAsia="en-AU"/>
        </w:rPr>
        <w:t>% satisfaction rat</w:t>
      </w:r>
      <w:r w:rsidR="006869D2">
        <w:rPr>
          <w:rFonts w:eastAsia="Times New Roman" w:cstheme="minorHAnsi"/>
          <w:i w:val="0"/>
          <w:sz w:val="22"/>
          <w:szCs w:val="22"/>
          <w:lang w:eastAsia="en-AU"/>
        </w:rPr>
        <w:t>e</w:t>
      </w:r>
      <w:r w:rsidRPr="002F3BB0">
        <w:rPr>
          <w:rFonts w:eastAsia="Times New Roman" w:cstheme="minorHAnsi"/>
          <w:i w:val="0"/>
          <w:sz w:val="22"/>
          <w:szCs w:val="22"/>
          <w:lang w:eastAsia="en-AU"/>
        </w:rPr>
        <w:t>;</w:t>
      </w:r>
    </w:p>
    <w:p w:rsidR="00AC3F10" w:rsidRPr="002F3BB0" w:rsidRDefault="00AC3F10" w:rsidP="00972E56">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responding to 3</w:t>
      </w:r>
      <w:r w:rsidR="0067141E">
        <w:rPr>
          <w:rFonts w:eastAsia="Times New Roman" w:cstheme="minorHAnsi"/>
          <w:i w:val="0"/>
          <w:sz w:val="22"/>
          <w:szCs w:val="22"/>
          <w:lang w:eastAsia="en-AU"/>
        </w:rPr>
        <w:t>,</w:t>
      </w:r>
      <w:r w:rsidR="00EE52CC" w:rsidRPr="002F3BB0">
        <w:rPr>
          <w:rFonts w:eastAsia="Times New Roman" w:cstheme="minorHAnsi"/>
          <w:i w:val="0"/>
          <w:sz w:val="22"/>
          <w:szCs w:val="22"/>
          <w:lang w:eastAsia="en-AU"/>
        </w:rPr>
        <w:t>265</w:t>
      </w:r>
      <w:r w:rsidRPr="002F3BB0">
        <w:rPr>
          <w:rFonts w:eastAsia="Times New Roman" w:cstheme="minorHAnsi"/>
          <w:i w:val="0"/>
          <w:sz w:val="22"/>
          <w:szCs w:val="22"/>
          <w:lang w:eastAsia="en-AU"/>
        </w:rPr>
        <w:t xml:space="preserve"> enquiries about the </w:t>
      </w:r>
      <w:r w:rsidRPr="002F3BB0">
        <w:rPr>
          <w:rFonts w:eastAsia="Times New Roman" w:cstheme="minorHAnsi"/>
          <w:sz w:val="22"/>
          <w:szCs w:val="22"/>
          <w:lang w:eastAsia="en-AU"/>
        </w:rPr>
        <w:t>Anti-Discrimination Act 1991</w:t>
      </w:r>
      <w:r w:rsidRPr="002F3BB0">
        <w:rPr>
          <w:rFonts w:eastAsia="Times New Roman" w:cstheme="minorHAnsi"/>
          <w:i w:val="0"/>
          <w:sz w:val="22"/>
          <w:szCs w:val="22"/>
          <w:lang w:eastAsia="en-AU"/>
        </w:rPr>
        <w:t xml:space="preserve"> and ADCQ services</w:t>
      </w:r>
      <w:r w:rsidR="00892977" w:rsidRPr="002F3BB0">
        <w:rPr>
          <w:rFonts w:eastAsia="Times New Roman" w:cstheme="minorHAnsi"/>
          <w:i w:val="0"/>
          <w:sz w:val="22"/>
          <w:szCs w:val="22"/>
          <w:lang w:eastAsia="en-AU"/>
        </w:rPr>
        <w:t>;</w:t>
      </w:r>
    </w:p>
    <w:p w:rsidR="00080DE8" w:rsidRPr="002F3BB0" w:rsidRDefault="00080DE8" w:rsidP="00972E56">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develop</w:t>
      </w:r>
      <w:r w:rsidR="0067141E">
        <w:rPr>
          <w:rFonts w:eastAsia="Times New Roman" w:cstheme="minorHAnsi"/>
          <w:i w:val="0"/>
          <w:sz w:val="22"/>
          <w:szCs w:val="22"/>
          <w:lang w:eastAsia="en-AU"/>
        </w:rPr>
        <w:t>ing</w:t>
      </w:r>
      <w:r w:rsidRPr="002F3BB0">
        <w:rPr>
          <w:rFonts w:eastAsia="Times New Roman" w:cstheme="minorHAnsi"/>
          <w:i w:val="0"/>
          <w:sz w:val="22"/>
          <w:szCs w:val="22"/>
          <w:lang w:eastAsia="en-AU"/>
        </w:rPr>
        <w:t xml:space="preserve"> </w:t>
      </w:r>
      <w:r w:rsidR="00892977" w:rsidRPr="002F3BB0">
        <w:rPr>
          <w:rFonts w:eastAsia="Times New Roman" w:cstheme="minorHAnsi"/>
          <w:i w:val="0"/>
          <w:sz w:val="22"/>
          <w:szCs w:val="22"/>
          <w:lang w:eastAsia="en-AU"/>
        </w:rPr>
        <w:t>an online training module called Discrimination Awareness in Queensland</w:t>
      </w:r>
      <w:r w:rsidRPr="002F3BB0">
        <w:rPr>
          <w:rFonts w:eastAsia="Times New Roman" w:cstheme="minorHAnsi"/>
          <w:i w:val="0"/>
          <w:sz w:val="22"/>
          <w:szCs w:val="22"/>
          <w:lang w:eastAsia="en-AU"/>
        </w:rPr>
        <w:t>;</w:t>
      </w:r>
    </w:p>
    <w:p w:rsidR="00AC3F10" w:rsidRPr="002F3BB0" w:rsidRDefault="00AC3F10" w:rsidP="00972E56">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 xml:space="preserve">conducting </w:t>
      </w:r>
      <w:r w:rsidR="00892977" w:rsidRPr="002F3BB0">
        <w:rPr>
          <w:rFonts w:eastAsia="Times New Roman" w:cstheme="minorHAnsi"/>
          <w:i w:val="0"/>
          <w:sz w:val="22"/>
          <w:szCs w:val="22"/>
          <w:lang w:eastAsia="en-AU"/>
        </w:rPr>
        <w:t>398</w:t>
      </w:r>
      <w:r w:rsidRPr="002F3BB0">
        <w:rPr>
          <w:rFonts w:eastAsia="Times New Roman" w:cstheme="minorHAnsi"/>
          <w:i w:val="0"/>
          <w:sz w:val="22"/>
          <w:szCs w:val="22"/>
          <w:lang w:eastAsia="en-AU"/>
        </w:rPr>
        <w:t xml:space="preserve"> community engagement activities;</w:t>
      </w:r>
    </w:p>
    <w:p w:rsidR="00080DE8" w:rsidRDefault="00090DC7" w:rsidP="00972E56">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enhancing discussion and understanding of contemporary human rights issues through submissions to a variety of state and federal inquiries and Parliamentary Committees</w:t>
      </w:r>
      <w:r w:rsidR="0067141E">
        <w:rPr>
          <w:rFonts w:eastAsia="Times New Roman" w:cstheme="minorHAnsi"/>
          <w:i w:val="0"/>
          <w:sz w:val="22"/>
          <w:szCs w:val="22"/>
          <w:lang w:eastAsia="en-AU"/>
        </w:rPr>
        <w:t>; and</w:t>
      </w:r>
    </w:p>
    <w:p w:rsidR="007826EB" w:rsidRPr="002F3BB0" w:rsidRDefault="007826EB" w:rsidP="00972E56">
      <w:pPr>
        <w:numPr>
          <w:ilvl w:val="0"/>
          <w:numId w:val="13"/>
        </w:numPr>
        <w:spacing w:before="120" w:after="0" w:line="240" w:lineRule="auto"/>
        <w:ind w:left="357" w:hanging="357"/>
        <w:rPr>
          <w:rFonts w:eastAsia="Times New Roman" w:cstheme="minorHAnsi"/>
          <w:i w:val="0"/>
          <w:sz w:val="22"/>
          <w:szCs w:val="22"/>
          <w:lang w:eastAsia="en-AU"/>
        </w:rPr>
      </w:pPr>
      <w:proofErr w:type="gramStart"/>
      <w:r>
        <w:rPr>
          <w:rFonts w:eastAsia="Times New Roman" w:cstheme="minorHAnsi"/>
          <w:i w:val="0"/>
          <w:sz w:val="22"/>
          <w:szCs w:val="22"/>
          <w:lang w:eastAsia="en-AU"/>
        </w:rPr>
        <w:t>delivering</w:t>
      </w:r>
      <w:proofErr w:type="gramEnd"/>
      <w:r>
        <w:rPr>
          <w:rFonts w:eastAsia="Times New Roman" w:cstheme="minorHAnsi"/>
          <w:i w:val="0"/>
          <w:sz w:val="22"/>
          <w:szCs w:val="22"/>
          <w:lang w:eastAsia="en-AU"/>
        </w:rPr>
        <w:t xml:space="preserve"> 40 keynote addresses to professional networks, conferences, community and student groups.</w:t>
      </w:r>
    </w:p>
    <w:p w:rsidR="00C11B09" w:rsidRPr="00C11B09" w:rsidRDefault="00C11B09" w:rsidP="005C44D1">
      <w:pPr>
        <w:pStyle w:val="Caption"/>
        <w:keepNext/>
        <w:spacing w:before="240" w:after="240" w:line="240" w:lineRule="auto"/>
        <w:rPr>
          <w:color w:val="595959" w:themeColor="accent2" w:themeShade="80"/>
          <w:sz w:val="22"/>
        </w:rPr>
      </w:pPr>
      <w:r w:rsidRPr="00C11B09">
        <w:rPr>
          <w:color w:val="595959" w:themeColor="accent2" w:themeShade="80"/>
          <w:sz w:val="22"/>
        </w:rPr>
        <w:t xml:space="preserve">Table </w:t>
      </w:r>
      <w:r w:rsidRPr="00C11B09">
        <w:rPr>
          <w:color w:val="595959" w:themeColor="accent2" w:themeShade="80"/>
          <w:sz w:val="22"/>
        </w:rPr>
        <w:fldChar w:fldCharType="begin"/>
      </w:r>
      <w:r w:rsidRPr="00C11B09">
        <w:rPr>
          <w:color w:val="595959" w:themeColor="accent2" w:themeShade="80"/>
          <w:sz w:val="22"/>
        </w:rPr>
        <w:instrText xml:space="preserve"> SEQ Table \* ARABIC </w:instrText>
      </w:r>
      <w:r w:rsidRPr="00C11B09">
        <w:rPr>
          <w:color w:val="595959" w:themeColor="accent2" w:themeShade="80"/>
          <w:sz w:val="22"/>
        </w:rPr>
        <w:fldChar w:fldCharType="separate"/>
      </w:r>
      <w:r w:rsidR="00860326">
        <w:rPr>
          <w:noProof/>
          <w:color w:val="595959" w:themeColor="accent2" w:themeShade="80"/>
          <w:sz w:val="22"/>
        </w:rPr>
        <w:t>1</w:t>
      </w:r>
      <w:r w:rsidRPr="00C11B09">
        <w:rPr>
          <w:color w:val="595959" w:themeColor="accent2" w:themeShade="80"/>
          <w:sz w:val="22"/>
        </w:rPr>
        <w:fldChar w:fldCharType="end"/>
      </w:r>
      <w:r w:rsidR="009D5BD8">
        <w:rPr>
          <w:color w:val="595959" w:themeColor="accent2" w:themeShade="80"/>
          <w:sz w:val="22"/>
        </w:rPr>
        <w:t>:</w:t>
      </w:r>
      <w:r w:rsidRPr="00C11B09">
        <w:rPr>
          <w:color w:val="595959" w:themeColor="accent2" w:themeShade="80"/>
          <w:sz w:val="22"/>
        </w:rPr>
        <w:t xml:space="preserve"> Service Standards</w:t>
      </w:r>
    </w:p>
    <w:tbl>
      <w:tblPr>
        <w:tblStyle w:val="LightList-Accent5"/>
        <w:tblW w:w="0" w:type="auto"/>
        <w:tblLook w:val="01E0" w:firstRow="1" w:lastRow="1" w:firstColumn="1" w:lastColumn="1" w:noHBand="0" w:noVBand="0"/>
        <w:tblDescription w:val="Service standards"/>
      </w:tblPr>
      <w:tblGrid>
        <w:gridCol w:w="4560"/>
        <w:gridCol w:w="1094"/>
        <w:gridCol w:w="1383"/>
        <w:gridCol w:w="1383"/>
        <w:gridCol w:w="1383"/>
      </w:tblGrid>
      <w:tr w:rsidR="00BE4079" w:rsidRPr="002A0F92" w:rsidTr="007447D3">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4560" w:type="dxa"/>
          </w:tcPr>
          <w:p w:rsidR="00BE4079" w:rsidRPr="002A0F92" w:rsidRDefault="00BE4079" w:rsidP="00802BE0">
            <w:pPr>
              <w:spacing w:before="120" w:after="120"/>
              <w:rPr>
                <w:rFonts w:cstheme="minorHAnsi"/>
                <w:b w:val="0"/>
                <w:i w:val="0"/>
                <w:sz w:val="22"/>
                <w:szCs w:val="22"/>
              </w:rPr>
            </w:pPr>
            <w:r w:rsidRPr="002A0F92">
              <w:rPr>
                <w:rFonts w:cstheme="minorHAnsi"/>
                <w:b w:val="0"/>
                <w:i w:val="0"/>
                <w:sz w:val="22"/>
                <w:szCs w:val="22"/>
              </w:rPr>
              <w:t>Service standards</w:t>
            </w:r>
          </w:p>
        </w:tc>
        <w:tc>
          <w:tcPr>
            <w:cnfStyle w:val="000010000000" w:firstRow="0" w:lastRow="0" w:firstColumn="0" w:lastColumn="0" w:oddVBand="1" w:evenVBand="0" w:oddHBand="0" w:evenHBand="0" w:firstRowFirstColumn="0" w:firstRowLastColumn="0" w:lastRowFirstColumn="0" w:lastRowLastColumn="0"/>
            <w:tcW w:w="1094" w:type="dxa"/>
          </w:tcPr>
          <w:p w:rsidR="00BE4079" w:rsidRPr="002A0F92" w:rsidRDefault="00BE4079" w:rsidP="00802BE0">
            <w:pPr>
              <w:spacing w:before="120" w:after="120"/>
              <w:jc w:val="center"/>
              <w:rPr>
                <w:rFonts w:cstheme="minorHAnsi"/>
                <w:b w:val="0"/>
                <w:i w:val="0"/>
                <w:sz w:val="22"/>
                <w:szCs w:val="22"/>
              </w:rPr>
            </w:pPr>
            <w:r w:rsidRPr="002A0F92">
              <w:rPr>
                <w:rFonts w:cstheme="minorHAnsi"/>
                <w:b w:val="0"/>
                <w:i w:val="0"/>
                <w:sz w:val="22"/>
                <w:szCs w:val="22"/>
              </w:rPr>
              <w:t>Notes</w:t>
            </w:r>
          </w:p>
        </w:tc>
        <w:tc>
          <w:tcPr>
            <w:tcW w:w="1383" w:type="dxa"/>
          </w:tcPr>
          <w:p w:rsidR="00BE4079" w:rsidRPr="002A0F92" w:rsidRDefault="00BE4079" w:rsidP="007A7555">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b w:val="0"/>
                <w:i w:val="0"/>
                <w:sz w:val="22"/>
                <w:szCs w:val="22"/>
              </w:rPr>
            </w:pPr>
            <w:r w:rsidRPr="002A0F92">
              <w:rPr>
                <w:rFonts w:cstheme="minorHAnsi"/>
                <w:b w:val="0"/>
                <w:i w:val="0"/>
                <w:sz w:val="22"/>
                <w:szCs w:val="22"/>
              </w:rPr>
              <w:t>201</w:t>
            </w:r>
            <w:r w:rsidR="007A7555">
              <w:rPr>
                <w:rFonts w:cstheme="minorHAnsi"/>
                <w:b w:val="0"/>
                <w:i w:val="0"/>
                <w:sz w:val="22"/>
                <w:szCs w:val="22"/>
              </w:rPr>
              <w:t>3</w:t>
            </w:r>
            <w:r w:rsidRPr="002A0F92">
              <w:rPr>
                <w:rFonts w:cstheme="minorHAnsi"/>
                <w:b w:val="0"/>
                <w:i w:val="0"/>
                <w:sz w:val="22"/>
                <w:szCs w:val="22"/>
              </w:rPr>
              <w:t>-1</w:t>
            </w:r>
            <w:r w:rsidR="007A7555">
              <w:rPr>
                <w:rFonts w:cstheme="minorHAnsi"/>
                <w:b w:val="0"/>
                <w:i w:val="0"/>
                <w:sz w:val="22"/>
                <w:szCs w:val="22"/>
              </w:rPr>
              <w:t>4</w:t>
            </w:r>
            <w:r w:rsidRPr="002A0F92">
              <w:rPr>
                <w:rFonts w:cstheme="minorHAnsi"/>
                <w:b w:val="0"/>
                <w:i w:val="0"/>
                <w:sz w:val="22"/>
                <w:szCs w:val="22"/>
              </w:rPr>
              <w:t xml:space="preserve"> Target/Est.</w:t>
            </w:r>
          </w:p>
        </w:tc>
        <w:tc>
          <w:tcPr>
            <w:cnfStyle w:val="000010000000" w:firstRow="0" w:lastRow="0" w:firstColumn="0" w:lastColumn="0" w:oddVBand="1" w:evenVBand="0" w:oddHBand="0" w:evenHBand="0" w:firstRowFirstColumn="0" w:firstRowLastColumn="0" w:lastRowFirstColumn="0" w:lastRowLastColumn="0"/>
            <w:tcW w:w="1383" w:type="dxa"/>
          </w:tcPr>
          <w:p w:rsidR="00BE4079" w:rsidRPr="002A0F92" w:rsidRDefault="00231890" w:rsidP="007A7555">
            <w:pPr>
              <w:spacing w:before="120" w:after="120"/>
              <w:jc w:val="center"/>
              <w:rPr>
                <w:rFonts w:cstheme="minorHAnsi"/>
                <w:b w:val="0"/>
                <w:i w:val="0"/>
                <w:sz w:val="22"/>
                <w:szCs w:val="22"/>
              </w:rPr>
            </w:pPr>
            <w:r w:rsidRPr="002A0F92">
              <w:rPr>
                <w:rFonts w:cstheme="minorHAnsi"/>
                <w:b w:val="0"/>
                <w:i w:val="0"/>
                <w:sz w:val="22"/>
                <w:szCs w:val="22"/>
              </w:rPr>
              <w:t>201</w:t>
            </w:r>
            <w:r w:rsidR="007A7555">
              <w:rPr>
                <w:rFonts w:cstheme="minorHAnsi"/>
                <w:b w:val="0"/>
                <w:i w:val="0"/>
                <w:sz w:val="22"/>
                <w:szCs w:val="22"/>
              </w:rPr>
              <w:t>3</w:t>
            </w:r>
            <w:r w:rsidR="00BE4079" w:rsidRPr="002A0F92">
              <w:rPr>
                <w:rFonts w:cstheme="minorHAnsi"/>
                <w:b w:val="0"/>
                <w:i w:val="0"/>
                <w:sz w:val="22"/>
                <w:szCs w:val="22"/>
              </w:rPr>
              <w:t>-1</w:t>
            </w:r>
            <w:r w:rsidR="007A7555">
              <w:rPr>
                <w:rFonts w:cstheme="minorHAnsi"/>
                <w:b w:val="0"/>
                <w:i w:val="0"/>
                <w:sz w:val="22"/>
                <w:szCs w:val="22"/>
              </w:rPr>
              <w:t>4</w:t>
            </w:r>
            <w:r w:rsidR="00BE4079" w:rsidRPr="002A0F92">
              <w:rPr>
                <w:rFonts w:cstheme="minorHAnsi"/>
                <w:b w:val="0"/>
                <w:i w:val="0"/>
                <w:sz w:val="22"/>
                <w:szCs w:val="22"/>
              </w:rPr>
              <w:t xml:space="preserve"> Est. actual</w:t>
            </w:r>
          </w:p>
        </w:tc>
        <w:tc>
          <w:tcPr>
            <w:cnfStyle w:val="000100000000" w:firstRow="0" w:lastRow="0" w:firstColumn="0" w:lastColumn="1" w:oddVBand="0" w:evenVBand="0" w:oddHBand="0" w:evenHBand="0" w:firstRowFirstColumn="0" w:firstRowLastColumn="0" w:lastRowFirstColumn="0" w:lastRowLastColumn="0"/>
            <w:tcW w:w="1383" w:type="dxa"/>
          </w:tcPr>
          <w:p w:rsidR="00BE4079" w:rsidRPr="002A0F92" w:rsidRDefault="00BE4079" w:rsidP="007A7555">
            <w:pPr>
              <w:spacing w:before="120" w:after="120"/>
              <w:jc w:val="center"/>
              <w:rPr>
                <w:rFonts w:cstheme="minorHAnsi"/>
                <w:b w:val="0"/>
                <w:i w:val="0"/>
                <w:sz w:val="22"/>
                <w:szCs w:val="22"/>
              </w:rPr>
            </w:pPr>
            <w:r w:rsidRPr="002A0F92">
              <w:rPr>
                <w:rFonts w:cstheme="minorHAnsi"/>
                <w:b w:val="0"/>
                <w:i w:val="0"/>
                <w:sz w:val="22"/>
                <w:szCs w:val="22"/>
              </w:rPr>
              <w:t>201</w:t>
            </w:r>
            <w:r w:rsidR="007A7555">
              <w:rPr>
                <w:rFonts w:cstheme="minorHAnsi"/>
                <w:b w:val="0"/>
                <w:i w:val="0"/>
                <w:sz w:val="22"/>
                <w:szCs w:val="22"/>
              </w:rPr>
              <w:t>4</w:t>
            </w:r>
            <w:r w:rsidRPr="002A0F92">
              <w:rPr>
                <w:rFonts w:cstheme="minorHAnsi"/>
                <w:b w:val="0"/>
                <w:i w:val="0"/>
                <w:sz w:val="22"/>
                <w:szCs w:val="22"/>
              </w:rPr>
              <w:t>-1</w:t>
            </w:r>
            <w:r w:rsidR="007A7555">
              <w:rPr>
                <w:rFonts w:cstheme="minorHAnsi"/>
                <w:b w:val="0"/>
                <w:i w:val="0"/>
                <w:sz w:val="22"/>
                <w:szCs w:val="22"/>
              </w:rPr>
              <w:t>5</w:t>
            </w:r>
            <w:r w:rsidRPr="002A0F92">
              <w:rPr>
                <w:rFonts w:cstheme="minorHAnsi"/>
                <w:b w:val="0"/>
                <w:i w:val="0"/>
                <w:sz w:val="22"/>
                <w:szCs w:val="22"/>
              </w:rPr>
              <w:t xml:space="preserve"> Target/Est.</w:t>
            </w:r>
          </w:p>
        </w:tc>
      </w:tr>
      <w:tr w:rsidR="00BE4079"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tcPr>
          <w:p w:rsidR="00BE4079" w:rsidRPr="002F3BB0" w:rsidRDefault="00BE4079" w:rsidP="00802BE0">
            <w:pPr>
              <w:spacing w:before="40" w:after="40"/>
              <w:rPr>
                <w:rFonts w:cstheme="minorHAnsi"/>
                <w:i w:val="0"/>
                <w:sz w:val="22"/>
                <w:szCs w:val="22"/>
                <w:lang w:eastAsia="en-AU"/>
              </w:rPr>
            </w:pPr>
            <w:r w:rsidRPr="002F3BB0">
              <w:rPr>
                <w:rFonts w:cstheme="minorHAnsi"/>
                <w:i w:val="0"/>
                <w:sz w:val="22"/>
                <w:szCs w:val="22"/>
                <w:lang w:eastAsia="en-AU"/>
              </w:rPr>
              <w:t>Percentage of accepted complaints resolved by conciliation</w:t>
            </w:r>
          </w:p>
        </w:tc>
        <w:tc>
          <w:tcPr>
            <w:cnfStyle w:val="000010000000" w:firstRow="0" w:lastRow="0" w:firstColumn="0" w:lastColumn="0" w:oddVBand="1" w:evenVBand="0" w:oddHBand="0" w:evenHBand="0" w:firstRowFirstColumn="0" w:firstRowLastColumn="0" w:lastRowFirstColumn="0" w:lastRowLastColumn="0"/>
            <w:tcW w:w="1094" w:type="dxa"/>
          </w:tcPr>
          <w:p w:rsidR="00BE4079" w:rsidRPr="0074614F" w:rsidRDefault="00A83182" w:rsidP="00802BE0">
            <w:pPr>
              <w:spacing w:before="40" w:after="40"/>
              <w:jc w:val="right"/>
              <w:rPr>
                <w:rFonts w:cstheme="minorHAnsi"/>
                <w:i w:val="0"/>
                <w:sz w:val="22"/>
                <w:szCs w:val="22"/>
                <w:vertAlign w:val="superscript"/>
                <w:lang w:eastAsia="en-AU"/>
              </w:rPr>
            </w:pPr>
            <w:r w:rsidRPr="0074614F">
              <w:rPr>
                <w:rFonts w:cstheme="minorHAnsi"/>
                <w:i w:val="0"/>
                <w:sz w:val="22"/>
                <w:szCs w:val="22"/>
                <w:vertAlign w:val="superscript"/>
                <w:lang w:eastAsia="en-AU"/>
              </w:rPr>
              <w:t>1</w:t>
            </w:r>
            <w:r w:rsidR="005644F0">
              <w:rPr>
                <w:rFonts w:cstheme="minorHAnsi"/>
                <w:i w:val="0"/>
                <w:sz w:val="22"/>
                <w:szCs w:val="22"/>
                <w:vertAlign w:val="superscript"/>
                <w:lang w:eastAsia="en-AU"/>
              </w:rPr>
              <w:t>.</w:t>
            </w:r>
          </w:p>
        </w:tc>
        <w:tc>
          <w:tcPr>
            <w:tcW w:w="1383" w:type="dxa"/>
          </w:tcPr>
          <w:p w:rsidR="00BE4079" w:rsidRPr="002F3BB0" w:rsidRDefault="00BE4079" w:rsidP="00802BE0">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55%</w:t>
            </w:r>
          </w:p>
        </w:tc>
        <w:tc>
          <w:tcPr>
            <w:cnfStyle w:val="000010000000" w:firstRow="0" w:lastRow="0" w:firstColumn="0" w:lastColumn="0" w:oddVBand="1" w:evenVBand="0" w:oddHBand="0" w:evenHBand="0" w:firstRowFirstColumn="0" w:firstRowLastColumn="0" w:lastRowFirstColumn="0" w:lastRowLastColumn="0"/>
            <w:tcW w:w="1383" w:type="dxa"/>
          </w:tcPr>
          <w:p w:rsidR="00BE4079" w:rsidRPr="002F3BB0" w:rsidRDefault="00A83182" w:rsidP="00A83182">
            <w:pPr>
              <w:spacing w:before="40" w:after="40"/>
              <w:jc w:val="right"/>
              <w:rPr>
                <w:rFonts w:cstheme="minorHAnsi"/>
                <w:i w:val="0"/>
                <w:sz w:val="22"/>
                <w:szCs w:val="22"/>
                <w:lang w:eastAsia="en-AU"/>
              </w:rPr>
            </w:pPr>
            <w:r w:rsidRPr="002F3BB0">
              <w:rPr>
                <w:rFonts w:cstheme="minorHAnsi"/>
                <w:i w:val="0"/>
                <w:sz w:val="22"/>
                <w:szCs w:val="22"/>
                <w:lang w:eastAsia="en-AU"/>
              </w:rPr>
              <w:t>60</w:t>
            </w:r>
            <w:r w:rsidR="00BE4079" w:rsidRPr="002F3BB0">
              <w:rPr>
                <w:rFonts w:cstheme="minorHAnsi"/>
                <w:i w:val="0"/>
                <w:sz w:val="22"/>
                <w:szCs w:val="22"/>
                <w:lang w:eastAsia="en-AU"/>
              </w:rPr>
              <w:t>%</w:t>
            </w:r>
          </w:p>
        </w:tc>
        <w:tc>
          <w:tcPr>
            <w:cnfStyle w:val="000100000000" w:firstRow="0" w:lastRow="0" w:firstColumn="0" w:lastColumn="1" w:oddVBand="0" w:evenVBand="0" w:oddHBand="0" w:evenHBand="0" w:firstRowFirstColumn="0" w:firstRowLastColumn="0" w:lastRowFirstColumn="0" w:lastRowLastColumn="0"/>
            <w:tcW w:w="1383" w:type="dxa"/>
          </w:tcPr>
          <w:p w:rsidR="00BE4079" w:rsidRPr="002F3BB0" w:rsidRDefault="00BE4079" w:rsidP="00802BE0">
            <w:pPr>
              <w:spacing w:before="40" w:after="40"/>
              <w:jc w:val="right"/>
              <w:rPr>
                <w:rFonts w:cstheme="minorHAnsi"/>
                <w:i w:val="0"/>
                <w:sz w:val="22"/>
                <w:szCs w:val="22"/>
                <w:lang w:eastAsia="en-AU"/>
              </w:rPr>
            </w:pPr>
            <w:r w:rsidRPr="002F3BB0">
              <w:rPr>
                <w:rFonts w:cstheme="minorHAnsi"/>
                <w:i w:val="0"/>
                <w:sz w:val="22"/>
                <w:szCs w:val="22"/>
                <w:lang w:eastAsia="en-AU"/>
              </w:rPr>
              <w:t>55%</w:t>
            </w:r>
          </w:p>
        </w:tc>
      </w:tr>
      <w:tr w:rsidR="00BE4079" w:rsidRPr="002F3BB0" w:rsidTr="00585B86">
        <w:tc>
          <w:tcPr>
            <w:cnfStyle w:val="001000000000" w:firstRow="0" w:lastRow="0" w:firstColumn="1" w:lastColumn="0" w:oddVBand="0" w:evenVBand="0" w:oddHBand="0" w:evenHBand="0" w:firstRowFirstColumn="0" w:firstRowLastColumn="0" w:lastRowFirstColumn="0" w:lastRowLastColumn="0"/>
            <w:tcW w:w="4560" w:type="dxa"/>
          </w:tcPr>
          <w:p w:rsidR="00BE4079" w:rsidRPr="002F3BB0" w:rsidRDefault="00BE4079" w:rsidP="00192B54">
            <w:pPr>
              <w:spacing w:before="40" w:after="40"/>
              <w:rPr>
                <w:rFonts w:cstheme="minorHAnsi"/>
                <w:i w:val="0"/>
                <w:sz w:val="22"/>
                <w:szCs w:val="22"/>
                <w:lang w:eastAsia="en-AU"/>
              </w:rPr>
            </w:pPr>
            <w:r w:rsidRPr="002F3BB0">
              <w:rPr>
                <w:rFonts w:cstheme="minorHAnsi"/>
                <w:i w:val="0"/>
                <w:sz w:val="22"/>
                <w:szCs w:val="22"/>
                <w:lang w:eastAsia="en-AU"/>
              </w:rPr>
              <w:t xml:space="preserve">Percentage of clients satisfied with complaint handling service measured </w:t>
            </w:r>
            <w:r w:rsidR="00192B54">
              <w:rPr>
                <w:rFonts w:cstheme="minorHAnsi"/>
                <w:i w:val="0"/>
                <w:sz w:val="22"/>
                <w:szCs w:val="22"/>
                <w:lang w:eastAsia="en-AU"/>
              </w:rPr>
              <w:t xml:space="preserve">by </w:t>
            </w:r>
            <w:r w:rsidRPr="002F3BB0">
              <w:rPr>
                <w:rFonts w:cstheme="minorHAnsi"/>
                <w:i w:val="0"/>
                <w:sz w:val="22"/>
                <w:szCs w:val="22"/>
                <w:lang w:eastAsia="en-AU"/>
              </w:rPr>
              <w:t>client survey</w:t>
            </w:r>
          </w:p>
        </w:tc>
        <w:tc>
          <w:tcPr>
            <w:cnfStyle w:val="000010000000" w:firstRow="0" w:lastRow="0" w:firstColumn="0" w:lastColumn="0" w:oddVBand="1" w:evenVBand="0" w:oddHBand="0" w:evenHBand="0" w:firstRowFirstColumn="0" w:firstRowLastColumn="0" w:lastRowFirstColumn="0" w:lastRowLastColumn="0"/>
            <w:tcW w:w="1094" w:type="dxa"/>
          </w:tcPr>
          <w:p w:rsidR="00BE4079" w:rsidRPr="002F3BB0" w:rsidRDefault="00514A18" w:rsidP="00802BE0">
            <w:pPr>
              <w:spacing w:before="40" w:after="40"/>
              <w:jc w:val="right"/>
              <w:rPr>
                <w:rFonts w:cstheme="minorHAnsi"/>
                <w:i w:val="0"/>
                <w:sz w:val="22"/>
                <w:szCs w:val="22"/>
                <w:lang w:eastAsia="en-AU"/>
              </w:rPr>
            </w:pPr>
            <w:r>
              <w:rPr>
                <w:rFonts w:cstheme="minorHAnsi"/>
                <w:i w:val="0"/>
                <w:sz w:val="22"/>
                <w:szCs w:val="22"/>
                <w:lang w:eastAsia="en-AU"/>
              </w:rPr>
              <w:t>-</w:t>
            </w:r>
          </w:p>
        </w:tc>
        <w:tc>
          <w:tcPr>
            <w:tcW w:w="1383" w:type="dxa"/>
          </w:tcPr>
          <w:p w:rsidR="00BE4079" w:rsidRPr="002F3BB0" w:rsidRDefault="00BE4079" w:rsidP="00802BE0">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85%</w:t>
            </w:r>
          </w:p>
        </w:tc>
        <w:tc>
          <w:tcPr>
            <w:cnfStyle w:val="000010000000" w:firstRow="0" w:lastRow="0" w:firstColumn="0" w:lastColumn="0" w:oddVBand="1" w:evenVBand="0" w:oddHBand="0" w:evenHBand="0" w:firstRowFirstColumn="0" w:firstRowLastColumn="0" w:lastRowFirstColumn="0" w:lastRowLastColumn="0"/>
            <w:tcW w:w="1383" w:type="dxa"/>
          </w:tcPr>
          <w:p w:rsidR="00BE4079" w:rsidRPr="002F3BB0" w:rsidRDefault="00BE4079" w:rsidP="00A83182">
            <w:pPr>
              <w:spacing w:before="40" w:after="40"/>
              <w:jc w:val="right"/>
              <w:rPr>
                <w:rFonts w:cstheme="minorHAnsi"/>
                <w:i w:val="0"/>
                <w:sz w:val="22"/>
                <w:szCs w:val="22"/>
                <w:lang w:eastAsia="en-AU"/>
              </w:rPr>
            </w:pPr>
            <w:r w:rsidRPr="002F3BB0">
              <w:rPr>
                <w:rFonts w:cstheme="minorHAnsi"/>
                <w:i w:val="0"/>
                <w:sz w:val="22"/>
                <w:szCs w:val="22"/>
                <w:lang w:eastAsia="en-AU"/>
              </w:rPr>
              <w:t>8</w:t>
            </w:r>
            <w:r w:rsidR="00A83182" w:rsidRPr="002F3BB0">
              <w:rPr>
                <w:rFonts w:cstheme="minorHAnsi"/>
                <w:i w:val="0"/>
                <w:sz w:val="22"/>
                <w:szCs w:val="22"/>
                <w:lang w:eastAsia="en-AU"/>
              </w:rPr>
              <w:t>6</w:t>
            </w:r>
            <w:r w:rsidRPr="002F3BB0">
              <w:rPr>
                <w:rFonts w:cstheme="minorHAnsi"/>
                <w:i w:val="0"/>
                <w:sz w:val="22"/>
                <w:szCs w:val="22"/>
                <w:lang w:eastAsia="en-AU"/>
              </w:rPr>
              <w:t>%</w:t>
            </w:r>
          </w:p>
        </w:tc>
        <w:tc>
          <w:tcPr>
            <w:cnfStyle w:val="000100000000" w:firstRow="0" w:lastRow="0" w:firstColumn="0" w:lastColumn="1" w:oddVBand="0" w:evenVBand="0" w:oddHBand="0" w:evenHBand="0" w:firstRowFirstColumn="0" w:firstRowLastColumn="0" w:lastRowFirstColumn="0" w:lastRowLastColumn="0"/>
            <w:tcW w:w="1383" w:type="dxa"/>
          </w:tcPr>
          <w:p w:rsidR="00BE4079" w:rsidRPr="002F3BB0" w:rsidRDefault="00BE4079" w:rsidP="00802BE0">
            <w:pPr>
              <w:spacing w:before="40" w:after="40"/>
              <w:jc w:val="right"/>
              <w:rPr>
                <w:rFonts w:cstheme="minorHAnsi"/>
                <w:i w:val="0"/>
                <w:sz w:val="22"/>
                <w:szCs w:val="22"/>
                <w:lang w:eastAsia="en-AU"/>
              </w:rPr>
            </w:pPr>
            <w:r w:rsidRPr="002F3BB0">
              <w:rPr>
                <w:rFonts w:cstheme="minorHAnsi"/>
                <w:i w:val="0"/>
                <w:sz w:val="22"/>
                <w:szCs w:val="22"/>
                <w:lang w:eastAsia="en-AU"/>
              </w:rPr>
              <w:t>85%</w:t>
            </w:r>
          </w:p>
        </w:tc>
      </w:tr>
      <w:tr w:rsidR="00BE4079"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tcPr>
          <w:p w:rsidR="00BE4079" w:rsidRPr="002F3BB0" w:rsidRDefault="00BE4079" w:rsidP="00192B54">
            <w:pPr>
              <w:spacing w:before="40" w:after="40"/>
              <w:rPr>
                <w:rFonts w:cstheme="minorHAnsi"/>
                <w:i w:val="0"/>
                <w:sz w:val="22"/>
                <w:szCs w:val="22"/>
                <w:lang w:eastAsia="en-AU"/>
              </w:rPr>
            </w:pPr>
            <w:r w:rsidRPr="002F3BB0">
              <w:rPr>
                <w:rFonts w:cstheme="minorHAnsi"/>
                <w:i w:val="0"/>
                <w:sz w:val="22"/>
                <w:szCs w:val="22"/>
                <w:lang w:eastAsia="en-AU"/>
              </w:rPr>
              <w:t xml:space="preserve">Percentage of clients satisfied with training sessions measured </w:t>
            </w:r>
            <w:r w:rsidR="00192B54">
              <w:rPr>
                <w:rFonts w:cstheme="minorHAnsi"/>
                <w:i w:val="0"/>
                <w:sz w:val="22"/>
                <w:szCs w:val="22"/>
                <w:lang w:eastAsia="en-AU"/>
              </w:rPr>
              <w:t xml:space="preserve">by </w:t>
            </w:r>
            <w:r w:rsidRPr="002F3BB0">
              <w:rPr>
                <w:rFonts w:cstheme="minorHAnsi"/>
                <w:i w:val="0"/>
                <w:sz w:val="22"/>
                <w:szCs w:val="22"/>
                <w:lang w:eastAsia="en-AU"/>
              </w:rPr>
              <w:t>client survey</w:t>
            </w:r>
          </w:p>
        </w:tc>
        <w:tc>
          <w:tcPr>
            <w:cnfStyle w:val="000010000000" w:firstRow="0" w:lastRow="0" w:firstColumn="0" w:lastColumn="0" w:oddVBand="1" w:evenVBand="0" w:oddHBand="0" w:evenHBand="0" w:firstRowFirstColumn="0" w:firstRowLastColumn="0" w:lastRowFirstColumn="0" w:lastRowLastColumn="0"/>
            <w:tcW w:w="1094" w:type="dxa"/>
          </w:tcPr>
          <w:p w:rsidR="00BE4079" w:rsidRPr="002F3BB0" w:rsidRDefault="00514A18" w:rsidP="00802BE0">
            <w:pPr>
              <w:spacing w:before="40" w:after="40"/>
              <w:jc w:val="right"/>
              <w:rPr>
                <w:rFonts w:cstheme="minorHAnsi"/>
                <w:i w:val="0"/>
                <w:sz w:val="22"/>
                <w:szCs w:val="22"/>
                <w:lang w:eastAsia="en-AU"/>
              </w:rPr>
            </w:pPr>
            <w:r>
              <w:rPr>
                <w:rFonts w:cstheme="minorHAnsi"/>
                <w:i w:val="0"/>
                <w:sz w:val="22"/>
                <w:szCs w:val="22"/>
                <w:lang w:eastAsia="en-AU"/>
              </w:rPr>
              <w:t>-</w:t>
            </w:r>
          </w:p>
        </w:tc>
        <w:tc>
          <w:tcPr>
            <w:tcW w:w="1383" w:type="dxa"/>
          </w:tcPr>
          <w:p w:rsidR="00BE4079" w:rsidRPr="002F3BB0" w:rsidRDefault="00BE4079" w:rsidP="00A83182">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9</w:t>
            </w:r>
            <w:r w:rsidR="00A83182" w:rsidRPr="002F3BB0">
              <w:rPr>
                <w:rFonts w:cstheme="minorHAnsi"/>
                <w:i w:val="0"/>
                <w:sz w:val="22"/>
                <w:szCs w:val="22"/>
                <w:lang w:eastAsia="en-AU"/>
              </w:rPr>
              <w:t>5</w:t>
            </w:r>
            <w:r w:rsidRPr="002F3BB0">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383" w:type="dxa"/>
          </w:tcPr>
          <w:p w:rsidR="00BE4079" w:rsidRPr="002F3BB0" w:rsidRDefault="00BE4079" w:rsidP="00A83182">
            <w:pPr>
              <w:spacing w:before="40" w:after="40"/>
              <w:jc w:val="right"/>
              <w:rPr>
                <w:rFonts w:cstheme="minorHAnsi"/>
                <w:i w:val="0"/>
                <w:sz w:val="22"/>
                <w:szCs w:val="22"/>
                <w:lang w:eastAsia="en-AU"/>
              </w:rPr>
            </w:pPr>
            <w:r w:rsidRPr="002F3BB0">
              <w:rPr>
                <w:rFonts w:cstheme="minorHAnsi"/>
                <w:i w:val="0"/>
                <w:sz w:val="22"/>
                <w:szCs w:val="22"/>
                <w:lang w:eastAsia="en-AU"/>
              </w:rPr>
              <w:t>9</w:t>
            </w:r>
            <w:r w:rsidR="00A83182" w:rsidRPr="002F3BB0">
              <w:rPr>
                <w:rFonts w:cstheme="minorHAnsi"/>
                <w:i w:val="0"/>
                <w:sz w:val="22"/>
                <w:szCs w:val="22"/>
                <w:lang w:eastAsia="en-AU"/>
              </w:rPr>
              <w:t>5</w:t>
            </w:r>
            <w:r w:rsidRPr="002F3BB0">
              <w:rPr>
                <w:rFonts w:cstheme="minorHAnsi"/>
                <w:i w:val="0"/>
                <w:sz w:val="22"/>
                <w:szCs w:val="22"/>
                <w:lang w:eastAsia="en-AU"/>
              </w:rPr>
              <w:t>%</w:t>
            </w:r>
          </w:p>
        </w:tc>
        <w:tc>
          <w:tcPr>
            <w:cnfStyle w:val="000100000000" w:firstRow="0" w:lastRow="0" w:firstColumn="0" w:lastColumn="1" w:oddVBand="0" w:evenVBand="0" w:oddHBand="0" w:evenHBand="0" w:firstRowFirstColumn="0" w:firstRowLastColumn="0" w:lastRowFirstColumn="0" w:lastRowLastColumn="0"/>
            <w:tcW w:w="1383" w:type="dxa"/>
          </w:tcPr>
          <w:p w:rsidR="00BE4079" w:rsidRPr="002F3BB0" w:rsidRDefault="00BE4079" w:rsidP="00231890">
            <w:pPr>
              <w:spacing w:before="40" w:after="40"/>
              <w:jc w:val="right"/>
              <w:rPr>
                <w:rFonts w:cstheme="minorHAnsi"/>
                <w:i w:val="0"/>
                <w:sz w:val="22"/>
                <w:szCs w:val="22"/>
                <w:lang w:eastAsia="en-AU"/>
              </w:rPr>
            </w:pPr>
            <w:r w:rsidRPr="002F3BB0">
              <w:rPr>
                <w:rFonts w:cstheme="minorHAnsi"/>
                <w:i w:val="0"/>
                <w:sz w:val="22"/>
                <w:szCs w:val="22"/>
                <w:lang w:eastAsia="en-AU"/>
              </w:rPr>
              <w:t>9</w:t>
            </w:r>
            <w:r w:rsidR="00231890" w:rsidRPr="002F3BB0">
              <w:rPr>
                <w:rFonts w:cstheme="minorHAnsi"/>
                <w:i w:val="0"/>
                <w:sz w:val="22"/>
                <w:szCs w:val="22"/>
                <w:lang w:eastAsia="en-AU"/>
              </w:rPr>
              <w:t>5</w:t>
            </w:r>
            <w:r w:rsidRPr="002F3BB0">
              <w:rPr>
                <w:rFonts w:cstheme="minorHAnsi"/>
                <w:i w:val="0"/>
                <w:sz w:val="22"/>
                <w:szCs w:val="22"/>
                <w:lang w:eastAsia="en-AU"/>
              </w:rPr>
              <w:t>%</w:t>
            </w:r>
          </w:p>
        </w:tc>
      </w:tr>
      <w:tr w:rsidR="00BE4079" w:rsidRPr="002F3BB0" w:rsidTr="00585B86">
        <w:tc>
          <w:tcPr>
            <w:cnfStyle w:val="001000000000" w:firstRow="0" w:lastRow="0" w:firstColumn="1" w:lastColumn="0" w:oddVBand="0" w:evenVBand="0" w:oddHBand="0" w:evenHBand="0" w:firstRowFirstColumn="0" w:firstRowLastColumn="0" w:lastRowFirstColumn="0" w:lastRowLastColumn="0"/>
            <w:tcW w:w="4560" w:type="dxa"/>
          </w:tcPr>
          <w:p w:rsidR="00BE4079" w:rsidRPr="002F3BB0" w:rsidRDefault="00BE4079" w:rsidP="00802BE0">
            <w:pPr>
              <w:spacing w:before="40" w:after="40"/>
              <w:rPr>
                <w:rFonts w:cstheme="minorHAnsi"/>
                <w:i w:val="0"/>
                <w:sz w:val="22"/>
                <w:szCs w:val="22"/>
                <w:lang w:eastAsia="en-AU"/>
              </w:rPr>
            </w:pPr>
            <w:r w:rsidRPr="002F3BB0">
              <w:rPr>
                <w:rFonts w:cstheme="minorHAnsi"/>
                <w:i w:val="0"/>
                <w:sz w:val="22"/>
                <w:szCs w:val="22"/>
                <w:lang w:eastAsia="en-AU"/>
              </w:rPr>
              <w:t>Percentage of accepted complaints referred to the Tribunal</w:t>
            </w:r>
          </w:p>
        </w:tc>
        <w:tc>
          <w:tcPr>
            <w:cnfStyle w:val="000010000000" w:firstRow="0" w:lastRow="0" w:firstColumn="0" w:lastColumn="0" w:oddVBand="1" w:evenVBand="0" w:oddHBand="0" w:evenHBand="0" w:firstRowFirstColumn="0" w:firstRowLastColumn="0" w:lastRowFirstColumn="0" w:lastRowLastColumn="0"/>
            <w:tcW w:w="1094" w:type="dxa"/>
          </w:tcPr>
          <w:p w:rsidR="00BE4079" w:rsidRPr="002F3BB0" w:rsidRDefault="00EC15E2" w:rsidP="00802BE0">
            <w:pPr>
              <w:spacing w:before="40" w:after="40"/>
              <w:jc w:val="right"/>
              <w:rPr>
                <w:rFonts w:cstheme="minorHAnsi"/>
                <w:i w:val="0"/>
                <w:sz w:val="22"/>
                <w:szCs w:val="22"/>
                <w:lang w:eastAsia="en-AU"/>
              </w:rPr>
            </w:pPr>
            <w:r w:rsidRPr="0074614F">
              <w:rPr>
                <w:rFonts w:cstheme="minorHAnsi"/>
                <w:i w:val="0"/>
                <w:sz w:val="22"/>
                <w:szCs w:val="22"/>
                <w:vertAlign w:val="superscript"/>
                <w:lang w:eastAsia="en-AU"/>
              </w:rPr>
              <w:t>2</w:t>
            </w:r>
            <w:r w:rsidR="005644F0">
              <w:rPr>
                <w:rFonts w:cstheme="minorHAnsi"/>
                <w:i w:val="0"/>
                <w:sz w:val="22"/>
                <w:szCs w:val="22"/>
                <w:vertAlign w:val="superscript"/>
                <w:lang w:eastAsia="en-AU"/>
              </w:rPr>
              <w:t>.</w:t>
            </w:r>
          </w:p>
        </w:tc>
        <w:tc>
          <w:tcPr>
            <w:tcW w:w="1383" w:type="dxa"/>
          </w:tcPr>
          <w:p w:rsidR="00BE4079" w:rsidRPr="002F3BB0" w:rsidRDefault="00BE4079" w:rsidP="00802BE0">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25%</w:t>
            </w:r>
          </w:p>
        </w:tc>
        <w:tc>
          <w:tcPr>
            <w:cnfStyle w:val="000010000000" w:firstRow="0" w:lastRow="0" w:firstColumn="0" w:lastColumn="0" w:oddVBand="1" w:evenVBand="0" w:oddHBand="0" w:evenHBand="0" w:firstRowFirstColumn="0" w:firstRowLastColumn="0" w:lastRowFirstColumn="0" w:lastRowLastColumn="0"/>
            <w:tcW w:w="1383" w:type="dxa"/>
          </w:tcPr>
          <w:p w:rsidR="00BE4079" w:rsidRPr="002F3BB0" w:rsidRDefault="00BE4079" w:rsidP="00231890">
            <w:pPr>
              <w:spacing w:before="40" w:after="40"/>
              <w:jc w:val="right"/>
              <w:rPr>
                <w:rFonts w:cstheme="minorHAnsi"/>
                <w:i w:val="0"/>
                <w:sz w:val="22"/>
                <w:szCs w:val="22"/>
                <w:lang w:eastAsia="en-AU"/>
              </w:rPr>
            </w:pPr>
            <w:r w:rsidRPr="002F3BB0">
              <w:rPr>
                <w:rFonts w:cstheme="minorHAnsi"/>
                <w:i w:val="0"/>
                <w:sz w:val="22"/>
                <w:szCs w:val="22"/>
                <w:lang w:eastAsia="en-AU"/>
              </w:rPr>
              <w:t>2</w:t>
            </w:r>
            <w:r w:rsidR="00231890" w:rsidRPr="002F3BB0">
              <w:rPr>
                <w:rFonts w:cstheme="minorHAnsi"/>
                <w:i w:val="0"/>
                <w:sz w:val="22"/>
                <w:szCs w:val="22"/>
                <w:lang w:eastAsia="en-AU"/>
              </w:rPr>
              <w:t>2</w:t>
            </w:r>
            <w:r w:rsidRPr="002F3BB0">
              <w:rPr>
                <w:rFonts w:cstheme="minorHAnsi"/>
                <w:i w:val="0"/>
                <w:sz w:val="22"/>
                <w:szCs w:val="22"/>
                <w:lang w:eastAsia="en-AU"/>
              </w:rPr>
              <w:t>%</w:t>
            </w:r>
          </w:p>
        </w:tc>
        <w:tc>
          <w:tcPr>
            <w:cnfStyle w:val="000100000000" w:firstRow="0" w:lastRow="0" w:firstColumn="0" w:lastColumn="1" w:oddVBand="0" w:evenVBand="0" w:oddHBand="0" w:evenHBand="0" w:firstRowFirstColumn="0" w:firstRowLastColumn="0" w:lastRowFirstColumn="0" w:lastRowLastColumn="0"/>
            <w:tcW w:w="1383" w:type="dxa"/>
          </w:tcPr>
          <w:p w:rsidR="00BE4079" w:rsidRPr="002F3BB0" w:rsidRDefault="00BE4079" w:rsidP="00802BE0">
            <w:pPr>
              <w:spacing w:before="40" w:after="40"/>
              <w:jc w:val="right"/>
              <w:rPr>
                <w:rFonts w:cstheme="minorHAnsi"/>
                <w:i w:val="0"/>
                <w:sz w:val="22"/>
                <w:szCs w:val="22"/>
                <w:lang w:eastAsia="en-AU"/>
              </w:rPr>
            </w:pPr>
            <w:r w:rsidRPr="002F3BB0">
              <w:rPr>
                <w:rFonts w:cstheme="minorHAnsi"/>
                <w:i w:val="0"/>
                <w:sz w:val="22"/>
                <w:szCs w:val="22"/>
                <w:lang w:eastAsia="en-AU"/>
              </w:rPr>
              <w:t>25%</w:t>
            </w:r>
          </w:p>
        </w:tc>
      </w:tr>
      <w:tr w:rsidR="00BE4079"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tcPr>
          <w:p w:rsidR="00BE4079" w:rsidRPr="002F3BB0" w:rsidRDefault="00BE4079" w:rsidP="00BE783D">
            <w:pPr>
              <w:rPr>
                <w:rFonts w:cstheme="minorHAnsi"/>
                <w:i w:val="0"/>
                <w:sz w:val="22"/>
                <w:szCs w:val="22"/>
              </w:rPr>
            </w:pPr>
            <w:r w:rsidRPr="002F3BB0">
              <w:rPr>
                <w:rFonts w:cstheme="minorHAnsi"/>
                <w:i w:val="0"/>
                <w:sz w:val="22"/>
                <w:szCs w:val="22"/>
              </w:rPr>
              <w:t>Percentage of complaints where time from acceptance notice to complaint being closed is:</w:t>
            </w:r>
          </w:p>
        </w:tc>
        <w:tc>
          <w:tcPr>
            <w:cnfStyle w:val="000010000000" w:firstRow="0" w:lastRow="0" w:firstColumn="0" w:lastColumn="0" w:oddVBand="1" w:evenVBand="0" w:oddHBand="0" w:evenHBand="0" w:firstRowFirstColumn="0" w:firstRowLastColumn="0" w:lastRowFirstColumn="0" w:lastRowLastColumn="0"/>
            <w:tcW w:w="1094" w:type="dxa"/>
          </w:tcPr>
          <w:p w:rsidR="00BE4079" w:rsidRPr="002F3BB0" w:rsidRDefault="00EC15E2" w:rsidP="00BE783D">
            <w:pPr>
              <w:spacing w:before="40" w:after="40"/>
              <w:jc w:val="right"/>
              <w:rPr>
                <w:rFonts w:cstheme="minorHAnsi"/>
                <w:i w:val="0"/>
                <w:sz w:val="22"/>
                <w:szCs w:val="22"/>
                <w:lang w:eastAsia="en-AU"/>
              </w:rPr>
            </w:pPr>
            <w:r w:rsidRPr="0074614F">
              <w:rPr>
                <w:rFonts w:cstheme="minorHAnsi"/>
                <w:i w:val="0"/>
                <w:sz w:val="22"/>
                <w:szCs w:val="22"/>
                <w:vertAlign w:val="superscript"/>
                <w:lang w:eastAsia="en-AU"/>
              </w:rPr>
              <w:t>1</w:t>
            </w:r>
            <w:r w:rsidR="005644F0">
              <w:rPr>
                <w:rFonts w:cstheme="minorHAnsi"/>
                <w:i w:val="0"/>
                <w:sz w:val="22"/>
                <w:szCs w:val="22"/>
                <w:vertAlign w:val="superscript"/>
                <w:lang w:eastAsia="en-AU"/>
              </w:rPr>
              <w:t>.</w:t>
            </w:r>
          </w:p>
        </w:tc>
        <w:tc>
          <w:tcPr>
            <w:tcW w:w="1383" w:type="dxa"/>
          </w:tcPr>
          <w:p w:rsidR="00BE4079" w:rsidRPr="002F3BB0" w:rsidRDefault="00514A18" w:rsidP="00BE783D">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383" w:type="dxa"/>
          </w:tcPr>
          <w:p w:rsidR="00BE4079" w:rsidRPr="002F3BB0" w:rsidRDefault="00514A18" w:rsidP="00BE783D">
            <w:pPr>
              <w:spacing w:before="40" w:after="40"/>
              <w:jc w:val="right"/>
              <w:rPr>
                <w:rFonts w:cstheme="minorHAnsi"/>
                <w:i w:val="0"/>
                <w:sz w:val="22"/>
                <w:szCs w:val="22"/>
                <w:lang w:eastAsia="en-AU"/>
              </w:rPr>
            </w:pPr>
            <w:r>
              <w:rPr>
                <w:rFonts w:cstheme="minorHAnsi"/>
                <w:i w:val="0"/>
                <w:sz w:val="22"/>
                <w:szCs w:val="22"/>
                <w:lang w:eastAsia="en-AU"/>
              </w:rPr>
              <w:t>-</w:t>
            </w:r>
          </w:p>
        </w:tc>
        <w:tc>
          <w:tcPr>
            <w:cnfStyle w:val="000100000000" w:firstRow="0" w:lastRow="0" w:firstColumn="0" w:lastColumn="1" w:oddVBand="0" w:evenVBand="0" w:oddHBand="0" w:evenHBand="0" w:firstRowFirstColumn="0" w:firstRowLastColumn="0" w:lastRowFirstColumn="0" w:lastRowLastColumn="0"/>
            <w:tcW w:w="1383" w:type="dxa"/>
          </w:tcPr>
          <w:p w:rsidR="00BE4079" w:rsidRPr="002F3BB0" w:rsidRDefault="00514A18" w:rsidP="00BE783D">
            <w:pPr>
              <w:spacing w:before="40" w:after="40"/>
              <w:jc w:val="right"/>
              <w:rPr>
                <w:rFonts w:cstheme="minorHAnsi"/>
                <w:i w:val="0"/>
                <w:sz w:val="22"/>
                <w:szCs w:val="22"/>
                <w:lang w:eastAsia="en-AU"/>
              </w:rPr>
            </w:pPr>
            <w:r>
              <w:rPr>
                <w:rFonts w:cstheme="minorHAnsi"/>
                <w:i w:val="0"/>
                <w:sz w:val="22"/>
                <w:szCs w:val="22"/>
                <w:lang w:eastAsia="en-AU"/>
              </w:rPr>
              <w:t>-</w:t>
            </w:r>
          </w:p>
        </w:tc>
      </w:tr>
      <w:tr w:rsidR="00BE783D" w:rsidRPr="002F3BB0" w:rsidTr="00585B86">
        <w:tc>
          <w:tcPr>
            <w:cnfStyle w:val="001000000000" w:firstRow="0" w:lastRow="0" w:firstColumn="1" w:lastColumn="0" w:oddVBand="0" w:evenVBand="0" w:oddHBand="0" w:evenHBand="0" w:firstRowFirstColumn="0" w:firstRowLastColumn="0" w:lastRowFirstColumn="0" w:lastRowLastColumn="0"/>
            <w:tcW w:w="4560" w:type="dxa"/>
          </w:tcPr>
          <w:p w:rsidR="00BE783D" w:rsidRPr="002F3BB0" w:rsidRDefault="00BE783D" w:rsidP="00A837E5">
            <w:pPr>
              <w:numPr>
                <w:ilvl w:val="0"/>
                <w:numId w:val="7"/>
              </w:numPr>
              <w:rPr>
                <w:rFonts w:cstheme="minorHAnsi"/>
                <w:i w:val="0"/>
                <w:sz w:val="22"/>
                <w:szCs w:val="22"/>
              </w:rPr>
            </w:pPr>
            <w:r w:rsidRPr="002F3BB0">
              <w:rPr>
                <w:rFonts w:cstheme="minorHAnsi"/>
                <w:i w:val="0"/>
                <w:sz w:val="22"/>
                <w:szCs w:val="22"/>
              </w:rPr>
              <w:t>within three months</w:t>
            </w:r>
          </w:p>
        </w:tc>
        <w:tc>
          <w:tcPr>
            <w:cnfStyle w:val="000010000000" w:firstRow="0" w:lastRow="0" w:firstColumn="0" w:lastColumn="0" w:oddVBand="1" w:evenVBand="0" w:oddHBand="0" w:evenHBand="0" w:firstRowFirstColumn="0" w:firstRowLastColumn="0" w:lastRowFirstColumn="0" w:lastRowLastColumn="0"/>
            <w:tcW w:w="1094" w:type="dxa"/>
          </w:tcPr>
          <w:p w:rsidR="00BE783D" w:rsidRPr="002F3BB0" w:rsidRDefault="00514A18" w:rsidP="00BE783D">
            <w:pPr>
              <w:spacing w:before="40" w:after="40"/>
              <w:jc w:val="right"/>
              <w:rPr>
                <w:rFonts w:cstheme="minorHAnsi"/>
                <w:i w:val="0"/>
                <w:sz w:val="22"/>
                <w:szCs w:val="22"/>
                <w:lang w:eastAsia="en-AU"/>
              </w:rPr>
            </w:pPr>
            <w:r>
              <w:rPr>
                <w:rFonts w:cstheme="minorHAnsi"/>
                <w:i w:val="0"/>
                <w:sz w:val="22"/>
                <w:szCs w:val="22"/>
                <w:lang w:eastAsia="en-AU"/>
              </w:rPr>
              <w:t>-</w:t>
            </w:r>
          </w:p>
        </w:tc>
        <w:tc>
          <w:tcPr>
            <w:tcW w:w="1383" w:type="dxa"/>
          </w:tcPr>
          <w:p w:rsidR="00BE783D" w:rsidRPr="002F3BB0" w:rsidRDefault="00BE783D" w:rsidP="00BE783D">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60%</w:t>
            </w:r>
          </w:p>
        </w:tc>
        <w:tc>
          <w:tcPr>
            <w:cnfStyle w:val="000010000000" w:firstRow="0" w:lastRow="0" w:firstColumn="0" w:lastColumn="0" w:oddVBand="1" w:evenVBand="0" w:oddHBand="0" w:evenHBand="0" w:firstRowFirstColumn="0" w:firstRowLastColumn="0" w:lastRowFirstColumn="0" w:lastRowLastColumn="0"/>
            <w:tcW w:w="1383" w:type="dxa"/>
          </w:tcPr>
          <w:p w:rsidR="00BE783D" w:rsidRPr="002F3BB0" w:rsidRDefault="00EC15E2" w:rsidP="00BE783D">
            <w:pPr>
              <w:spacing w:before="40" w:after="40"/>
              <w:jc w:val="right"/>
              <w:rPr>
                <w:rFonts w:cstheme="minorHAnsi"/>
                <w:i w:val="0"/>
                <w:sz w:val="22"/>
                <w:szCs w:val="22"/>
                <w:lang w:eastAsia="en-AU"/>
              </w:rPr>
            </w:pPr>
            <w:r w:rsidRPr="002F3BB0">
              <w:rPr>
                <w:rFonts w:cstheme="minorHAnsi"/>
                <w:i w:val="0"/>
                <w:sz w:val="22"/>
                <w:szCs w:val="22"/>
                <w:lang w:eastAsia="en-AU"/>
              </w:rPr>
              <w:t>68</w:t>
            </w:r>
            <w:r w:rsidR="00BE783D" w:rsidRPr="002F3BB0">
              <w:rPr>
                <w:rFonts w:cstheme="minorHAnsi"/>
                <w:i w:val="0"/>
                <w:sz w:val="22"/>
                <w:szCs w:val="22"/>
                <w:lang w:eastAsia="en-AU"/>
              </w:rPr>
              <w:t>%</w:t>
            </w:r>
          </w:p>
        </w:tc>
        <w:tc>
          <w:tcPr>
            <w:cnfStyle w:val="000100000000" w:firstRow="0" w:lastRow="0" w:firstColumn="0" w:lastColumn="1" w:oddVBand="0" w:evenVBand="0" w:oddHBand="0" w:evenHBand="0" w:firstRowFirstColumn="0" w:firstRowLastColumn="0" w:lastRowFirstColumn="0" w:lastRowLastColumn="0"/>
            <w:tcW w:w="1383" w:type="dxa"/>
          </w:tcPr>
          <w:p w:rsidR="00BE783D" w:rsidRPr="002F3BB0" w:rsidRDefault="00BE783D" w:rsidP="00BE783D">
            <w:pPr>
              <w:spacing w:before="40" w:after="40"/>
              <w:jc w:val="right"/>
              <w:rPr>
                <w:rFonts w:cstheme="minorHAnsi"/>
                <w:i w:val="0"/>
                <w:sz w:val="22"/>
                <w:szCs w:val="22"/>
                <w:lang w:eastAsia="en-AU"/>
              </w:rPr>
            </w:pPr>
            <w:r w:rsidRPr="002F3BB0">
              <w:rPr>
                <w:rFonts w:cstheme="minorHAnsi"/>
                <w:i w:val="0"/>
                <w:sz w:val="22"/>
                <w:szCs w:val="22"/>
                <w:lang w:eastAsia="en-AU"/>
              </w:rPr>
              <w:t>60%</w:t>
            </w:r>
          </w:p>
        </w:tc>
      </w:tr>
      <w:tr w:rsidR="00BE783D"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tcPr>
          <w:p w:rsidR="00BE783D" w:rsidRPr="002F3BB0" w:rsidRDefault="00BE783D" w:rsidP="00A837E5">
            <w:pPr>
              <w:numPr>
                <w:ilvl w:val="0"/>
                <w:numId w:val="7"/>
              </w:numPr>
              <w:rPr>
                <w:rFonts w:cstheme="minorHAnsi"/>
                <w:i w:val="0"/>
                <w:sz w:val="22"/>
                <w:szCs w:val="22"/>
              </w:rPr>
            </w:pPr>
            <w:r w:rsidRPr="002F3BB0">
              <w:rPr>
                <w:rFonts w:cstheme="minorHAnsi"/>
                <w:i w:val="0"/>
                <w:sz w:val="22"/>
                <w:szCs w:val="22"/>
              </w:rPr>
              <w:t>within six months</w:t>
            </w:r>
          </w:p>
        </w:tc>
        <w:tc>
          <w:tcPr>
            <w:cnfStyle w:val="000010000000" w:firstRow="0" w:lastRow="0" w:firstColumn="0" w:lastColumn="0" w:oddVBand="1" w:evenVBand="0" w:oddHBand="0" w:evenHBand="0" w:firstRowFirstColumn="0" w:firstRowLastColumn="0" w:lastRowFirstColumn="0" w:lastRowLastColumn="0"/>
            <w:tcW w:w="1094" w:type="dxa"/>
          </w:tcPr>
          <w:p w:rsidR="00BE783D" w:rsidRPr="002F3BB0" w:rsidRDefault="00514A18" w:rsidP="00802BE0">
            <w:pPr>
              <w:spacing w:before="40" w:after="40"/>
              <w:jc w:val="right"/>
              <w:rPr>
                <w:rFonts w:cstheme="minorHAnsi"/>
                <w:i w:val="0"/>
                <w:sz w:val="22"/>
                <w:szCs w:val="22"/>
                <w:lang w:eastAsia="en-AU"/>
              </w:rPr>
            </w:pPr>
            <w:r>
              <w:rPr>
                <w:rFonts w:cstheme="minorHAnsi"/>
                <w:i w:val="0"/>
                <w:sz w:val="22"/>
                <w:szCs w:val="22"/>
                <w:lang w:eastAsia="en-AU"/>
              </w:rPr>
              <w:t>-</w:t>
            </w:r>
          </w:p>
        </w:tc>
        <w:tc>
          <w:tcPr>
            <w:tcW w:w="1383" w:type="dxa"/>
          </w:tcPr>
          <w:p w:rsidR="00BE783D" w:rsidRPr="002F3BB0" w:rsidRDefault="00BE783D" w:rsidP="00BE783D">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20%</w:t>
            </w:r>
          </w:p>
        </w:tc>
        <w:tc>
          <w:tcPr>
            <w:cnfStyle w:val="000010000000" w:firstRow="0" w:lastRow="0" w:firstColumn="0" w:lastColumn="0" w:oddVBand="1" w:evenVBand="0" w:oddHBand="0" w:evenHBand="0" w:firstRowFirstColumn="0" w:firstRowLastColumn="0" w:lastRowFirstColumn="0" w:lastRowLastColumn="0"/>
            <w:tcW w:w="1383" w:type="dxa"/>
          </w:tcPr>
          <w:p w:rsidR="00BE783D" w:rsidRPr="002F3BB0" w:rsidRDefault="00EC15E2" w:rsidP="00BE783D">
            <w:pPr>
              <w:spacing w:before="40" w:after="40"/>
              <w:jc w:val="right"/>
              <w:rPr>
                <w:rFonts w:cstheme="minorHAnsi"/>
                <w:i w:val="0"/>
                <w:sz w:val="22"/>
                <w:szCs w:val="22"/>
                <w:lang w:eastAsia="en-AU"/>
              </w:rPr>
            </w:pPr>
            <w:r w:rsidRPr="002F3BB0">
              <w:rPr>
                <w:rFonts w:cstheme="minorHAnsi"/>
                <w:i w:val="0"/>
                <w:sz w:val="22"/>
                <w:szCs w:val="22"/>
                <w:lang w:eastAsia="en-AU"/>
              </w:rPr>
              <w:t>20</w:t>
            </w:r>
            <w:r w:rsidR="00BE783D" w:rsidRPr="002F3BB0">
              <w:rPr>
                <w:rFonts w:cstheme="minorHAnsi"/>
                <w:i w:val="0"/>
                <w:sz w:val="22"/>
                <w:szCs w:val="22"/>
                <w:lang w:eastAsia="en-AU"/>
              </w:rPr>
              <w:t>%</w:t>
            </w:r>
          </w:p>
        </w:tc>
        <w:tc>
          <w:tcPr>
            <w:cnfStyle w:val="000100000000" w:firstRow="0" w:lastRow="0" w:firstColumn="0" w:lastColumn="1" w:oddVBand="0" w:evenVBand="0" w:oddHBand="0" w:evenHBand="0" w:firstRowFirstColumn="0" w:firstRowLastColumn="0" w:lastRowFirstColumn="0" w:lastRowLastColumn="0"/>
            <w:tcW w:w="1383" w:type="dxa"/>
          </w:tcPr>
          <w:p w:rsidR="00BE783D" w:rsidRPr="002F3BB0" w:rsidRDefault="00BE783D" w:rsidP="00BE783D">
            <w:pPr>
              <w:spacing w:before="40" w:after="40"/>
              <w:jc w:val="right"/>
              <w:rPr>
                <w:rFonts w:cstheme="minorHAnsi"/>
                <w:i w:val="0"/>
                <w:sz w:val="22"/>
                <w:szCs w:val="22"/>
                <w:lang w:eastAsia="en-AU"/>
              </w:rPr>
            </w:pPr>
            <w:r w:rsidRPr="002F3BB0">
              <w:rPr>
                <w:rFonts w:cstheme="minorHAnsi"/>
                <w:i w:val="0"/>
                <w:sz w:val="22"/>
                <w:szCs w:val="22"/>
                <w:lang w:eastAsia="en-AU"/>
              </w:rPr>
              <w:t>20%</w:t>
            </w:r>
          </w:p>
        </w:tc>
      </w:tr>
      <w:tr w:rsidR="00BE783D" w:rsidRPr="002F3BB0" w:rsidTr="00585B86">
        <w:tc>
          <w:tcPr>
            <w:cnfStyle w:val="001000000000" w:firstRow="0" w:lastRow="0" w:firstColumn="1" w:lastColumn="0" w:oddVBand="0" w:evenVBand="0" w:oddHBand="0" w:evenHBand="0" w:firstRowFirstColumn="0" w:firstRowLastColumn="0" w:lastRowFirstColumn="0" w:lastRowLastColumn="0"/>
            <w:tcW w:w="4560" w:type="dxa"/>
          </w:tcPr>
          <w:p w:rsidR="00BE783D" w:rsidRPr="002F3BB0" w:rsidRDefault="00BE783D" w:rsidP="00A837E5">
            <w:pPr>
              <w:numPr>
                <w:ilvl w:val="0"/>
                <w:numId w:val="7"/>
              </w:numPr>
              <w:rPr>
                <w:rFonts w:cstheme="minorHAnsi"/>
                <w:i w:val="0"/>
                <w:sz w:val="22"/>
                <w:szCs w:val="22"/>
              </w:rPr>
            </w:pPr>
            <w:r w:rsidRPr="002F3BB0">
              <w:rPr>
                <w:rFonts w:cstheme="minorHAnsi"/>
                <w:i w:val="0"/>
                <w:sz w:val="22"/>
                <w:szCs w:val="22"/>
              </w:rPr>
              <w:t>within nine months</w:t>
            </w:r>
          </w:p>
        </w:tc>
        <w:tc>
          <w:tcPr>
            <w:cnfStyle w:val="000010000000" w:firstRow="0" w:lastRow="0" w:firstColumn="0" w:lastColumn="0" w:oddVBand="1" w:evenVBand="0" w:oddHBand="0" w:evenHBand="0" w:firstRowFirstColumn="0" w:firstRowLastColumn="0" w:lastRowFirstColumn="0" w:lastRowLastColumn="0"/>
            <w:tcW w:w="1094" w:type="dxa"/>
          </w:tcPr>
          <w:p w:rsidR="00BE783D" w:rsidRPr="002F3BB0" w:rsidRDefault="00514A18" w:rsidP="00802BE0">
            <w:pPr>
              <w:spacing w:before="40" w:after="40"/>
              <w:jc w:val="right"/>
              <w:rPr>
                <w:rFonts w:cstheme="minorHAnsi"/>
                <w:i w:val="0"/>
                <w:sz w:val="22"/>
                <w:szCs w:val="22"/>
                <w:lang w:eastAsia="en-AU"/>
              </w:rPr>
            </w:pPr>
            <w:r>
              <w:rPr>
                <w:rFonts w:cstheme="minorHAnsi"/>
                <w:i w:val="0"/>
                <w:sz w:val="22"/>
                <w:szCs w:val="22"/>
                <w:lang w:eastAsia="en-AU"/>
              </w:rPr>
              <w:t>-</w:t>
            </w:r>
          </w:p>
        </w:tc>
        <w:tc>
          <w:tcPr>
            <w:tcW w:w="1383" w:type="dxa"/>
          </w:tcPr>
          <w:p w:rsidR="00BE783D" w:rsidRPr="002F3BB0" w:rsidRDefault="00BE783D" w:rsidP="00BE783D">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10%</w:t>
            </w:r>
          </w:p>
        </w:tc>
        <w:tc>
          <w:tcPr>
            <w:cnfStyle w:val="000010000000" w:firstRow="0" w:lastRow="0" w:firstColumn="0" w:lastColumn="0" w:oddVBand="1" w:evenVBand="0" w:oddHBand="0" w:evenHBand="0" w:firstRowFirstColumn="0" w:firstRowLastColumn="0" w:lastRowFirstColumn="0" w:lastRowLastColumn="0"/>
            <w:tcW w:w="1383" w:type="dxa"/>
          </w:tcPr>
          <w:p w:rsidR="00BE783D" w:rsidRPr="002F3BB0" w:rsidRDefault="00EC15E2" w:rsidP="00BE783D">
            <w:pPr>
              <w:spacing w:before="40" w:after="40"/>
              <w:jc w:val="right"/>
              <w:rPr>
                <w:rFonts w:cstheme="minorHAnsi"/>
                <w:i w:val="0"/>
                <w:sz w:val="22"/>
                <w:szCs w:val="22"/>
                <w:lang w:eastAsia="en-AU"/>
              </w:rPr>
            </w:pPr>
            <w:r w:rsidRPr="002F3BB0">
              <w:rPr>
                <w:rFonts w:cstheme="minorHAnsi"/>
                <w:i w:val="0"/>
                <w:sz w:val="22"/>
                <w:szCs w:val="22"/>
                <w:lang w:eastAsia="en-AU"/>
              </w:rPr>
              <w:t>8</w:t>
            </w:r>
            <w:r w:rsidR="00BE783D" w:rsidRPr="002F3BB0">
              <w:rPr>
                <w:rFonts w:cstheme="minorHAnsi"/>
                <w:i w:val="0"/>
                <w:sz w:val="22"/>
                <w:szCs w:val="22"/>
                <w:lang w:eastAsia="en-AU"/>
              </w:rPr>
              <w:t>%</w:t>
            </w:r>
          </w:p>
        </w:tc>
        <w:tc>
          <w:tcPr>
            <w:cnfStyle w:val="000100000000" w:firstRow="0" w:lastRow="0" w:firstColumn="0" w:lastColumn="1" w:oddVBand="0" w:evenVBand="0" w:oddHBand="0" w:evenHBand="0" w:firstRowFirstColumn="0" w:firstRowLastColumn="0" w:lastRowFirstColumn="0" w:lastRowLastColumn="0"/>
            <w:tcW w:w="1383" w:type="dxa"/>
          </w:tcPr>
          <w:p w:rsidR="00BE783D" w:rsidRPr="002F3BB0" w:rsidRDefault="00BE783D" w:rsidP="00BE783D">
            <w:pPr>
              <w:spacing w:before="40" w:after="40"/>
              <w:jc w:val="right"/>
              <w:rPr>
                <w:rFonts w:cstheme="minorHAnsi"/>
                <w:i w:val="0"/>
                <w:sz w:val="22"/>
                <w:szCs w:val="22"/>
                <w:lang w:eastAsia="en-AU"/>
              </w:rPr>
            </w:pPr>
            <w:r w:rsidRPr="002F3BB0">
              <w:rPr>
                <w:rFonts w:cstheme="minorHAnsi"/>
                <w:i w:val="0"/>
                <w:sz w:val="22"/>
                <w:szCs w:val="22"/>
                <w:lang w:eastAsia="en-AU"/>
              </w:rPr>
              <w:t>10%</w:t>
            </w:r>
          </w:p>
        </w:tc>
      </w:tr>
      <w:tr w:rsidR="00BE783D"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tcPr>
          <w:p w:rsidR="00BE783D" w:rsidRPr="002F3BB0" w:rsidRDefault="00BE783D" w:rsidP="00A837E5">
            <w:pPr>
              <w:numPr>
                <w:ilvl w:val="0"/>
                <w:numId w:val="7"/>
              </w:numPr>
              <w:rPr>
                <w:rFonts w:cstheme="minorHAnsi"/>
                <w:i w:val="0"/>
                <w:sz w:val="22"/>
                <w:szCs w:val="22"/>
              </w:rPr>
            </w:pPr>
            <w:r w:rsidRPr="002F3BB0">
              <w:rPr>
                <w:rFonts w:cstheme="minorHAnsi"/>
                <w:i w:val="0"/>
                <w:sz w:val="22"/>
                <w:szCs w:val="22"/>
              </w:rPr>
              <w:t>within 12 months</w:t>
            </w:r>
          </w:p>
        </w:tc>
        <w:tc>
          <w:tcPr>
            <w:cnfStyle w:val="000010000000" w:firstRow="0" w:lastRow="0" w:firstColumn="0" w:lastColumn="0" w:oddVBand="1" w:evenVBand="0" w:oddHBand="0" w:evenHBand="0" w:firstRowFirstColumn="0" w:firstRowLastColumn="0" w:lastRowFirstColumn="0" w:lastRowLastColumn="0"/>
            <w:tcW w:w="1094" w:type="dxa"/>
          </w:tcPr>
          <w:p w:rsidR="00BE783D" w:rsidRPr="002F3BB0" w:rsidRDefault="00514A18" w:rsidP="00802BE0">
            <w:pPr>
              <w:spacing w:before="40" w:after="40"/>
              <w:jc w:val="right"/>
              <w:rPr>
                <w:rFonts w:cstheme="minorHAnsi"/>
                <w:i w:val="0"/>
                <w:sz w:val="22"/>
                <w:szCs w:val="22"/>
                <w:lang w:eastAsia="en-AU"/>
              </w:rPr>
            </w:pPr>
            <w:r>
              <w:rPr>
                <w:rFonts w:cstheme="minorHAnsi"/>
                <w:i w:val="0"/>
                <w:sz w:val="22"/>
                <w:szCs w:val="22"/>
                <w:lang w:eastAsia="en-AU"/>
              </w:rPr>
              <w:t>-</w:t>
            </w:r>
          </w:p>
        </w:tc>
        <w:tc>
          <w:tcPr>
            <w:tcW w:w="1383" w:type="dxa"/>
          </w:tcPr>
          <w:p w:rsidR="00BE783D" w:rsidRPr="002F3BB0" w:rsidRDefault="00BE783D" w:rsidP="00BE783D">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5%</w:t>
            </w:r>
          </w:p>
        </w:tc>
        <w:tc>
          <w:tcPr>
            <w:cnfStyle w:val="000010000000" w:firstRow="0" w:lastRow="0" w:firstColumn="0" w:lastColumn="0" w:oddVBand="1" w:evenVBand="0" w:oddHBand="0" w:evenHBand="0" w:firstRowFirstColumn="0" w:firstRowLastColumn="0" w:lastRowFirstColumn="0" w:lastRowLastColumn="0"/>
            <w:tcW w:w="1383" w:type="dxa"/>
          </w:tcPr>
          <w:p w:rsidR="00BE783D" w:rsidRPr="002F3BB0" w:rsidRDefault="00EC15E2" w:rsidP="00BE783D">
            <w:pPr>
              <w:spacing w:before="40" w:after="40"/>
              <w:jc w:val="right"/>
              <w:rPr>
                <w:rFonts w:cstheme="minorHAnsi"/>
                <w:i w:val="0"/>
                <w:sz w:val="22"/>
                <w:szCs w:val="22"/>
                <w:lang w:eastAsia="en-AU"/>
              </w:rPr>
            </w:pPr>
            <w:r w:rsidRPr="002F3BB0">
              <w:rPr>
                <w:rFonts w:cstheme="minorHAnsi"/>
                <w:i w:val="0"/>
                <w:sz w:val="22"/>
                <w:szCs w:val="22"/>
                <w:lang w:eastAsia="en-AU"/>
              </w:rPr>
              <w:t>1</w:t>
            </w:r>
            <w:r w:rsidR="00BE783D" w:rsidRPr="002F3BB0">
              <w:rPr>
                <w:rFonts w:cstheme="minorHAnsi"/>
                <w:i w:val="0"/>
                <w:sz w:val="22"/>
                <w:szCs w:val="22"/>
                <w:lang w:eastAsia="en-AU"/>
              </w:rPr>
              <w:t>%</w:t>
            </w:r>
          </w:p>
        </w:tc>
        <w:tc>
          <w:tcPr>
            <w:cnfStyle w:val="000100000000" w:firstRow="0" w:lastRow="0" w:firstColumn="0" w:lastColumn="1" w:oddVBand="0" w:evenVBand="0" w:oddHBand="0" w:evenHBand="0" w:firstRowFirstColumn="0" w:firstRowLastColumn="0" w:lastRowFirstColumn="0" w:lastRowLastColumn="0"/>
            <w:tcW w:w="1383" w:type="dxa"/>
          </w:tcPr>
          <w:p w:rsidR="00BE783D" w:rsidRPr="002F3BB0" w:rsidRDefault="00BE783D" w:rsidP="00BE783D">
            <w:pPr>
              <w:spacing w:before="40" w:after="40"/>
              <w:jc w:val="right"/>
              <w:rPr>
                <w:rFonts w:cstheme="minorHAnsi"/>
                <w:i w:val="0"/>
                <w:sz w:val="22"/>
                <w:szCs w:val="22"/>
                <w:lang w:eastAsia="en-AU"/>
              </w:rPr>
            </w:pPr>
            <w:r w:rsidRPr="002F3BB0">
              <w:rPr>
                <w:rFonts w:cstheme="minorHAnsi"/>
                <w:i w:val="0"/>
                <w:sz w:val="22"/>
                <w:szCs w:val="22"/>
                <w:lang w:eastAsia="en-AU"/>
              </w:rPr>
              <w:t>5%</w:t>
            </w:r>
          </w:p>
        </w:tc>
      </w:tr>
      <w:tr w:rsidR="00BE783D" w:rsidRPr="002F3BB0" w:rsidTr="00585B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tcPr>
          <w:p w:rsidR="00BE783D" w:rsidRPr="002F3BB0" w:rsidRDefault="00BE783D" w:rsidP="00A837E5">
            <w:pPr>
              <w:numPr>
                <w:ilvl w:val="0"/>
                <w:numId w:val="7"/>
              </w:numPr>
              <w:rPr>
                <w:rFonts w:cstheme="minorHAnsi"/>
                <w:i w:val="0"/>
                <w:sz w:val="22"/>
                <w:szCs w:val="22"/>
              </w:rPr>
            </w:pPr>
            <w:r w:rsidRPr="002F3BB0">
              <w:rPr>
                <w:rFonts w:cstheme="minorHAnsi"/>
                <w:i w:val="0"/>
                <w:sz w:val="22"/>
                <w:szCs w:val="22"/>
              </w:rPr>
              <w:t>over 12 months</w:t>
            </w:r>
          </w:p>
        </w:tc>
        <w:tc>
          <w:tcPr>
            <w:cnfStyle w:val="000010000000" w:firstRow="0" w:lastRow="0" w:firstColumn="0" w:lastColumn="0" w:oddVBand="1" w:evenVBand="0" w:oddHBand="0" w:evenHBand="0" w:firstRowFirstColumn="0" w:firstRowLastColumn="0" w:lastRowFirstColumn="0" w:lastRowLastColumn="0"/>
            <w:tcW w:w="1094" w:type="dxa"/>
          </w:tcPr>
          <w:p w:rsidR="00BE783D" w:rsidRPr="002F3BB0" w:rsidRDefault="00514A18" w:rsidP="00802BE0">
            <w:pPr>
              <w:spacing w:before="40" w:after="40"/>
              <w:jc w:val="right"/>
              <w:rPr>
                <w:rFonts w:cstheme="minorHAnsi"/>
                <w:i w:val="0"/>
                <w:sz w:val="22"/>
                <w:szCs w:val="22"/>
                <w:lang w:eastAsia="en-AU"/>
              </w:rPr>
            </w:pPr>
            <w:r>
              <w:rPr>
                <w:rFonts w:cstheme="minorHAnsi"/>
                <w:i w:val="0"/>
                <w:sz w:val="22"/>
                <w:szCs w:val="22"/>
                <w:lang w:eastAsia="en-AU"/>
              </w:rPr>
              <w:t>-</w:t>
            </w:r>
          </w:p>
        </w:tc>
        <w:tc>
          <w:tcPr>
            <w:tcW w:w="1383" w:type="dxa"/>
          </w:tcPr>
          <w:p w:rsidR="00BE783D" w:rsidRPr="002F3BB0" w:rsidRDefault="00BE783D" w:rsidP="00802BE0">
            <w:pPr>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5%</w:t>
            </w:r>
          </w:p>
        </w:tc>
        <w:tc>
          <w:tcPr>
            <w:cnfStyle w:val="000010000000" w:firstRow="0" w:lastRow="0" w:firstColumn="0" w:lastColumn="0" w:oddVBand="1" w:evenVBand="0" w:oddHBand="0" w:evenHBand="0" w:firstRowFirstColumn="0" w:firstRowLastColumn="0" w:lastRowFirstColumn="0" w:lastRowLastColumn="0"/>
            <w:tcW w:w="1383" w:type="dxa"/>
          </w:tcPr>
          <w:p w:rsidR="00BE783D" w:rsidRPr="002F3BB0" w:rsidRDefault="00EC15E2" w:rsidP="00802BE0">
            <w:pPr>
              <w:spacing w:before="40" w:after="40"/>
              <w:jc w:val="right"/>
              <w:rPr>
                <w:rFonts w:cstheme="minorHAnsi"/>
                <w:i w:val="0"/>
                <w:sz w:val="22"/>
                <w:szCs w:val="22"/>
                <w:lang w:eastAsia="en-AU"/>
              </w:rPr>
            </w:pPr>
            <w:r w:rsidRPr="002F3BB0">
              <w:rPr>
                <w:rFonts w:cstheme="minorHAnsi"/>
                <w:i w:val="0"/>
                <w:sz w:val="22"/>
                <w:szCs w:val="22"/>
                <w:lang w:eastAsia="en-AU"/>
              </w:rPr>
              <w:t>3</w:t>
            </w:r>
            <w:r w:rsidR="00BE783D" w:rsidRPr="002F3BB0">
              <w:rPr>
                <w:rFonts w:cstheme="minorHAnsi"/>
                <w:i w:val="0"/>
                <w:sz w:val="22"/>
                <w:szCs w:val="22"/>
                <w:lang w:eastAsia="en-AU"/>
              </w:rPr>
              <w:t>%</w:t>
            </w:r>
          </w:p>
        </w:tc>
        <w:tc>
          <w:tcPr>
            <w:cnfStyle w:val="000100000000" w:firstRow="0" w:lastRow="0" w:firstColumn="0" w:lastColumn="1" w:oddVBand="0" w:evenVBand="0" w:oddHBand="0" w:evenHBand="0" w:firstRowFirstColumn="0" w:firstRowLastColumn="0" w:lastRowFirstColumn="0" w:lastRowLastColumn="0"/>
            <w:tcW w:w="1383" w:type="dxa"/>
          </w:tcPr>
          <w:p w:rsidR="00BE783D" w:rsidRPr="002F3BB0" w:rsidRDefault="00BE783D" w:rsidP="00802BE0">
            <w:pPr>
              <w:spacing w:before="40" w:after="40"/>
              <w:jc w:val="right"/>
              <w:rPr>
                <w:rFonts w:cstheme="minorHAnsi"/>
                <w:i w:val="0"/>
                <w:sz w:val="22"/>
                <w:szCs w:val="22"/>
                <w:lang w:eastAsia="en-AU"/>
              </w:rPr>
            </w:pPr>
            <w:r w:rsidRPr="002F3BB0">
              <w:rPr>
                <w:rFonts w:cstheme="minorHAnsi"/>
                <w:i w:val="0"/>
                <w:sz w:val="22"/>
                <w:szCs w:val="22"/>
                <w:lang w:eastAsia="en-AU"/>
              </w:rPr>
              <w:t>5%</w:t>
            </w:r>
          </w:p>
        </w:tc>
      </w:tr>
    </w:tbl>
    <w:p w:rsidR="00231890" w:rsidRPr="002F3BB0" w:rsidRDefault="00231890" w:rsidP="00AA40A2">
      <w:pPr>
        <w:spacing w:before="240" w:after="120" w:line="240" w:lineRule="auto"/>
        <w:rPr>
          <w:rFonts w:cstheme="minorHAnsi"/>
          <w:i w:val="0"/>
          <w:sz w:val="22"/>
          <w:szCs w:val="22"/>
        </w:rPr>
      </w:pPr>
      <w:r w:rsidRPr="002F3BB0">
        <w:rPr>
          <w:rFonts w:cstheme="minorHAnsi"/>
          <w:i w:val="0"/>
          <w:sz w:val="22"/>
          <w:szCs w:val="22"/>
        </w:rPr>
        <w:t>Notes:</w:t>
      </w:r>
    </w:p>
    <w:p w:rsidR="00EC15E2" w:rsidRPr="002F3BB0" w:rsidRDefault="00EC15E2" w:rsidP="00AA40A2">
      <w:pPr>
        <w:numPr>
          <w:ilvl w:val="0"/>
          <w:numId w:val="8"/>
        </w:numPr>
        <w:spacing w:before="120" w:after="0" w:line="240" w:lineRule="auto"/>
        <w:ind w:left="357" w:hanging="357"/>
        <w:rPr>
          <w:rFonts w:cstheme="minorHAnsi"/>
          <w:i w:val="0"/>
          <w:sz w:val="22"/>
          <w:szCs w:val="22"/>
        </w:rPr>
      </w:pPr>
      <w:r w:rsidRPr="002F3BB0">
        <w:rPr>
          <w:rFonts w:cstheme="minorHAnsi"/>
          <w:i w:val="0"/>
          <w:sz w:val="22"/>
          <w:szCs w:val="22"/>
        </w:rPr>
        <w:t>This variance is due to greater stability in staffing levels</w:t>
      </w:r>
      <w:r w:rsidR="00B17C88">
        <w:rPr>
          <w:rFonts w:cstheme="minorHAnsi"/>
          <w:i w:val="0"/>
          <w:sz w:val="22"/>
          <w:szCs w:val="22"/>
        </w:rPr>
        <w:t>,</w:t>
      </w:r>
      <w:r w:rsidRPr="002F3BB0">
        <w:rPr>
          <w:rFonts w:cstheme="minorHAnsi"/>
          <w:i w:val="0"/>
          <w:sz w:val="22"/>
          <w:szCs w:val="22"/>
        </w:rPr>
        <w:t xml:space="preserve"> resulting in improved management of complaint files and reduced timeframes.</w:t>
      </w:r>
    </w:p>
    <w:p w:rsidR="00231890" w:rsidRPr="00406669" w:rsidRDefault="00EC15E2" w:rsidP="00AA40A2">
      <w:pPr>
        <w:numPr>
          <w:ilvl w:val="0"/>
          <w:numId w:val="8"/>
        </w:numPr>
        <w:spacing w:before="120" w:after="0" w:line="240" w:lineRule="auto"/>
        <w:ind w:left="357" w:hanging="357"/>
        <w:rPr>
          <w:rFonts w:cstheme="minorHAnsi"/>
          <w:i w:val="0"/>
          <w:sz w:val="22"/>
          <w:szCs w:val="22"/>
        </w:rPr>
      </w:pPr>
      <w:r w:rsidRPr="002F3BB0">
        <w:rPr>
          <w:rFonts w:cstheme="minorHAnsi"/>
          <w:i w:val="0"/>
          <w:sz w:val="22"/>
          <w:szCs w:val="22"/>
        </w:rPr>
        <w:t>This is a positive result as it means more complaints are being finalised th</w:t>
      </w:r>
      <w:r w:rsidR="00406669">
        <w:rPr>
          <w:rFonts w:cstheme="minorHAnsi"/>
          <w:i w:val="0"/>
          <w:sz w:val="22"/>
          <w:szCs w:val="22"/>
        </w:rPr>
        <w:t>rough the conciliation process.</w:t>
      </w:r>
    </w:p>
    <w:p w:rsidR="008B2125" w:rsidRPr="002A0F92" w:rsidRDefault="00135540" w:rsidP="006762DE">
      <w:pPr>
        <w:pStyle w:val="Heading1"/>
        <w:pageBreakBefore/>
        <w:rPr>
          <w:rFonts w:asciiTheme="minorHAnsi" w:eastAsia="Times New Roman" w:hAnsiTheme="minorHAnsi" w:cstheme="minorHAnsi"/>
          <w:i w:val="0"/>
          <w:color w:val="auto"/>
          <w:spacing w:val="22"/>
          <w:lang w:eastAsia="en-AU"/>
        </w:rPr>
      </w:pPr>
      <w:bookmarkStart w:id="16" w:name="_Toc366487300"/>
      <w:bookmarkStart w:id="17" w:name="_Toc397345679"/>
      <w:r>
        <w:rPr>
          <w:rFonts w:asciiTheme="minorHAnsi" w:eastAsia="Times New Roman" w:hAnsiTheme="minorHAnsi" w:cstheme="minorHAnsi"/>
          <w:i w:val="0"/>
          <w:color w:val="auto"/>
          <w:spacing w:val="22"/>
          <w:lang w:eastAsia="en-AU"/>
        </w:rPr>
        <w:lastRenderedPageBreak/>
        <w:t>Community E</w:t>
      </w:r>
      <w:r w:rsidR="004F08FB" w:rsidRPr="002A0F92">
        <w:rPr>
          <w:rFonts w:asciiTheme="minorHAnsi" w:eastAsia="Times New Roman" w:hAnsiTheme="minorHAnsi" w:cstheme="minorHAnsi"/>
          <w:i w:val="0"/>
          <w:color w:val="auto"/>
          <w:spacing w:val="22"/>
          <w:lang w:eastAsia="en-AU"/>
        </w:rPr>
        <w:t>ngagement and Education</w:t>
      </w:r>
      <w:bookmarkEnd w:id="16"/>
      <w:bookmarkEnd w:id="17"/>
      <w:r w:rsidR="004F08FB" w:rsidRPr="002A0F92">
        <w:rPr>
          <w:rFonts w:asciiTheme="minorHAnsi" w:eastAsia="Times New Roman" w:hAnsiTheme="minorHAnsi" w:cstheme="minorHAnsi"/>
          <w:i w:val="0"/>
          <w:color w:val="auto"/>
          <w:spacing w:val="22"/>
          <w:lang w:eastAsia="en-AU"/>
        </w:rPr>
        <w:t xml:space="preserve"> </w:t>
      </w:r>
    </w:p>
    <w:p w:rsidR="005644F0" w:rsidRDefault="005644F0" w:rsidP="00466152">
      <w:pPr>
        <w:spacing w:after="240" w:line="240" w:lineRule="auto"/>
        <w:ind w:left="720" w:right="822"/>
        <w:rPr>
          <w:rFonts w:cstheme="minorHAnsi"/>
          <w:i w:val="0"/>
          <w:sz w:val="22"/>
          <w:szCs w:val="22"/>
        </w:rPr>
      </w:pPr>
      <w:r>
        <w:rPr>
          <w:rFonts w:cstheme="minorHAnsi"/>
          <w:i w:val="0"/>
          <w:sz w:val="22"/>
          <w:szCs w:val="22"/>
        </w:rPr>
        <w:t>‘</w:t>
      </w:r>
      <w:r w:rsidR="00356143" w:rsidRPr="002F3BB0">
        <w:rPr>
          <w:rFonts w:cstheme="minorHAnsi"/>
          <w:i w:val="0"/>
          <w:sz w:val="22"/>
          <w:szCs w:val="22"/>
        </w:rPr>
        <w:t>The quality of democratic life is improved by an educated community appreciative and respectful of the dignity and wor</w:t>
      </w:r>
      <w:r w:rsidR="00A8170D">
        <w:rPr>
          <w:rFonts w:cstheme="minorHAnsi"/>
          <w:i w:val="0"/>
          <w:sz w:val="22"/>
          <w:szCs w:val="22"/>
        </w:rPr>
        <w:t>th</w:t>
      </w:r>
      <w:r w:rsidR="00356143" w:rsidRPr="002F3BB0">
        <w:rPr>
          <w:rFonts w:cstheme="minorHAnsi"/>
          <w:i w:val="0"/>
          <w:sz w:val="22"/>
          <w:szCs w:val="22"/>
        </w:rPr>
        <w:t xml:space="preserve"> of everyone</w:t>
      </w:r>
      <w:r>
        <w:rPr>
          <w:rFonts w:cstheme="minorHAnsi"/>
          <w:i w:val="0"/>
          <w:sz w:val="22"/>
          <w:szCs w:val="22"/>
        </w:rPr>
        <w:t>.’</w:t>
      </w:r>
    </w:p>
    <w:p w:rsidR="00290988" w:rsidRPr="002F3BB0" w:rsidRDefault="00A8170D" w:rsidP="00466152">
      <w:pPr>
        <w:spacing w:after="240" w:line="240" w:lineRule="auto"/>
        <w:rPr>
          <w:rFonts w:cstheme="minorHAnsi"/>
          <w:i w:val="0"/>
          <w:sz w:val="22"/>
          <w:szCs w:val="22"/>
        </w:rPr>
      </w:pPr>
      <w:r>
        <w:rPr>
          <w:rFonts w:cstheme="minorHAnsi"/>
          <w:i w:val="0"/>
          <w:sz w:val="22"/>
          <w:szCs w:val="22"/>
        </w:rPr>
        <w:t xml:space="preserve">This is one of Parliament’s primary reasons for enacting the </w:t>
      </w:r>
      <w:r w:rsidR="00356143" w:rsidRPr="002F3BB0">
        <w:rPr>
          <w:rFonts w:cstheme="minorHAnsi"/>
          <w:sz w:val="22"/>
          <w:szCs w:val="22"/>
        </w:rPr>
        <w:t>Anti-Discrimination Act 1991</w:t>
      </w:r>
      <w:r>
        <w:rPr>
          <w:rFonts w:cstheme="minorHAnsi"/>
          <w:i w:val="0"/>
          <w:sz w:val="22"/>
          <w:szCs w:val="22"/>
        </w:rPr>
        <w:t>.</w:t>
      </w:r>
      <w:r w:rsidR="00356143" w:rsidRPr="002F3BB0">
        <w:rPr>
          <w:rFonts w:cstheme="minorHAnsi"/>
          <w:i w:val="0"/>
          <w:sz w:val="22"/>
          <w:szCs w:val="22"/>
        </w:rPr>
        <w:t xml:space="preserve"> </w:t>
      </w:r>
    </w:p>
    <w:p w:rsidR="00090DC7" w:rsidRPr="002F3BB0" w:rsidRDefault="0043542A" w:rsidP="00466152">
      <w:pPr>
        <w:spacing w:after="240" w:line="240" w:lineRule="auto"/>
        <w:rPr>
          <w:rFonts w:cstheme="minorHAnsi"/>
          <w:i w:val="0"/>
          <w:sz w:val="22"/>
          <w:szCs w:val="22"/>
        </w:rPr>
      </w:pPr>
      <w:r w:rsidRPr="002F3BB0">
        <w:rPr>
          <w:rFonts w:cstheme="minorHAnsi"/>
          <w:i w:val="0"/>
          <w:sz w:val="22"/>
          <w:szCs w:val="22"/>
        </w:rPr>
        <w:t>An important aspect of the ADCQ’s role is the provision of education programs and the promotion of understanding, acceptance and public discussion of human rights in Queensland</w:t>
      </w:r>
      <w:r w:rsidR="00090DC7" w:rsidRPr="002F3BB0">
        <w:rPr>
          <w:rFonts w:cstheme="minorHAnsi"/>
          <w:i w:val="0"/>
          <w:sz w:val="22"/>
          <w:szCs w:val="22"/>
        </w:rPr>
        <w:t xml:space="preserve"> through communication and community engagement activities</w:t>
      </w:r>
      <w:r w:rsidRPr="002F3BB0">
        <w:rPr>
          <w:rFonts w:cstheme="minorHAnsi"/>
          <w:i w:val="0"/>
          <w:sz w:val="22"/>
          <w:szCs w:val="22"/>
        </w:rPr>
        <w:t>.</w:t>
      </w:r>
    </w:p>
    <w:p w:rsidR="0043542A" w:rsidRPr="002F3BB0" w:rsidRDefault="0043542A" w:rsidP="00466152">
      <w:pPr>
        <w:spacing w:after="240" w:line="240" w:lineRule="auto"/>
        <w:rPr>
          <w:rFonts w:cstheme="minorHAnsi"/>
          <w:i w:val="0"/>
          <w:sz w:val="22"/>
          <w:szCs w:val="22"/>
        </w:rPr>
      </w:pPr>
      <w:r w:rsidRPr="002F3BB0">
        <w:rPr>
          <w:rFonts w:cstheme="minorHAnsi"/>
          <w:i w:val="0"/>
          <w:sz w:val="22"/>
          <w:szCs w:val="22"/>
        </w:rPr>
        <w:t xml:space="preserve"> The ADCQ Community Engagement Strategy incorporates eight strategic functional areas. These areas and their objectives are: </w:t>
      </w:r>
    </w:p>
    <w:p w:rsidR="00C11B09" w:rsidRPr="002F3BB0" w:rsidRDefault="00C11B09" w:rsidP="005C44D1">
      <w:pPr>
        <w:pStyle w:val="Caption"/>
        <w:keepNext/>
        <w:spacing w:before="240" w:after="240" w:line="240" w:lineRule="auto"/>
        <w:rPr>
          <w:color w:val="595959" w:themeColor="accent2" w:themeShade="80"/>
          <w:sz w:val="22"/>
        </w:rPr>
      </w:pPr>
      <w:r w:rsidRPr="002F3BB0">
        <w:rPr>
          <w:color w:val="595959" w:themeColor="accent2" w:themeShade="80"/>
          <w:sz w:val="22"/>
        </w:rPr>
        <w:t xml:space="preserve">Table </w:t>
      </w:r>
      <w:r w:rsidRPr="002F3BB0">
        <w:rPr>
          <w:color w:val="595959" w:themeColor="accent2" w:themeShade="80"/>
          <w:sz w:val="22"/>
        </w:rPr>
        <w:fldChar w:fldCharType="begin"/>
      </w:r>
      <w:r w:rsidRPr="002F3BB0">
        <w:rPr>
          <w:color w:val="595959" w:themeColor="accent2" w:themeShade="80"/>
          <w:sz w:val="22"/>
        </w:rPr>
        <w:instrText xml:space="preserve"> SEQ Table \* ARABIC </w:instrText>
      </w:r>
      <w:r w:rsidRPr="002F3BB0">
        <w:rPr>
          <w:color w:val="595959" w:themeColor="accent2" w:themeShade="80"/>
          <w:sz w:val="22"/>
        </w:rPr>
        <w:fldChar w:fldCharType="separate"/>
      </w:r>
      <w:r w:rsidR="00860326">
        <w:rPr>
          <w:noProof/>
          <w:color w:val="595959" w:themeColor="accent2" w:themeShade="80"/>
          <w:sz w:val="22"/>
        </w:rPr>
        <w:t>2</w:t>
      </w:r>
      <w:r w:rsidRPr="002F3BB0">
        <w:rPr>
          <w:color w:val="595959" w:themeColor="accent2" w:themeShade="80"/>
          <w:sz w:val="22"/>
        </w:rPr>
        <w:fldChar w:fldCharType="end"/>
      </w:r>
      <w:r w:rsidR="009D5BD8">
        <w:rPr>
          <w:color w:val="595959" w:themeColor="accent2" w:themeShade="80"/>
          <w:sz w:val="22"/>
        </w:rPr>
        <w:t>:</w:t>
      </w:r>
      <w:r w:rsidRPr="002F3BB0">
        <w:rPr>
          <w:color w:val="595959" w:themeColor="accent2" w:themeShade="80"/>
          <w:sz w:val="22"/>
        </w:rPr>
        <w:t xml:space="preserve"> Community Engagement Strategy</w:t>
      </w:r>
    </w:p>
    <w:tbl>
      <w:tblPr>
        <w:tblW w:w="0" w:type="auto"/>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Description w:val="Community engagement strategy"/>
      </w:tblPr>
      <w:tblGrid>
        <w:gridCol w:w="2410"/>
        <w:gridCol w:w="2268"/>
        <w:gridCol w:w="2268"/>
        <w:gridCol w:w="2410"/>
      </w:tblGrid>
      <w:tr w:rsidR="006762DE" w:rsidRPr="002F3BB0" w:rsidTr="006762DE">
        <w:trPr>
          <w:trHeight w:val="380"/>
          <w:tblCellSpacing w:w="20" w:type="dxa"/>
        </w:trPr>
        <w:tc>
          <w:tcPr>
            <w:tcW w:w="2350" w:type="dxa"/>
            <w:tcBorders>
              <w:bottom w:val="nil"/>
            </w:tcBorders>
            <w:shd w:val="clear" w:color="auto" w:fill="auto"/>
          </w:tcPr>
          <w:p w:rsidR="006762DE" w:rsidRPr="002F3BB0" w:rsidRDefault="006762DE" w:rsidP="006762DE">
            <w:pPr>
              <w:spacing w:before="40" w:after="40" w:line="240" w:lineRule="auto"/>
              <w:jc w:val="center"/>
              <w:rPr>
                <w:rFonts w:eastAsia="Times New Roman" w:cstheme="minorHAnsi"/>
                <w:b/>
                <w:i w:val="0"/>
                <w:sz w:val="22"/>
                <w:szCs w:val="22"/>
                <w:lang w:eastAsia="en-AU"/>
              </w:rPr>
            </w:pPr>
            <w:r w:rsidRPr="002F3BB0">
              <w:rPr>
                <w:rFonts w:eastAsia="Times New Roman" w:cstheme="minorHAnsi"/>
                <w:b/>
                <w:i w:val="0"/>
                <w:sz w:val="22"/>
                <w:szCs w:val="22"/>
                <w:lang w:eastAsia="en-AU"/>
              </w:rPr>
              <w:t>Engagement, consultation and community development</w:t>
            </w:r>
          </w:p>
        </w:tc>
        <w:tc>
          <w:tcPr>
            <w:tcW w:w="2228" w:type="dxa"/>
            <w:tcBorders>
              <w:bottom w:val="nil"/>
            </w:tcBorders>
            <w:shd w:val="clear" w:color="auto" w:fill="auto"/>
          </w:tcPr>
          <w:p w:rsidR="006762DE" w:rsidRPr="002F3BB0" w:rsidRDefault="006762DE" w:rsidP="00457B20">
            <w:pPr>
              <w:spacing w:before="40" w:after="40" w:line="240" w:lineRule="auto"/>
              <w:jc w:val="center"/>
              <w:rPr>
                <w:rFonts w:eastAsia="Times New Roman" w:cstheme="minorHAnsi"/>
                <w:b/>
                <w:bCs/>
                <w:i w:val="0"/>
                <w:sz w:val="22"/>
                <w:szCs w:val="22"/>
                <w:lang w:eastAsia="en-AU"/>
              </w:rPr>
            </w:pPr>
            <w:r w:rsidRPr="002F3BB0">
              <w:rPr>
                <w:rFonts w:eastAsia="Times New Roman" w:cstheme="minorHAnsi"/>
                <w:b/>
                <w:bCs/>
                <w:i w:val="0"/>
                <w:sz w:val="22"/>
                <w:szCs w:val="22"/>
                <w:lang w:eastAsia="en-AU"/>
              </w:rPr>
              <w:t xml:space="preserve">Web </w:t>
            </w:r>
            <w:r w:rsidR="005644F0">
              <w:rPr>
                <w:rFonts w:eastAsia="Times New Roman" w:cstheme="minorHAnsi"/>
                <w:b/>
                <w:bCs/>
                <w:i w:val="0"/>
                <w:sz w:val="22"/>
                <w:szCs w:val="22"/>
                <w:lang w:eastAsia="en-AU"/>
              </w:rPr>
              <w:t>and</w:t>
            </w:r>
            <w:r w:rsidRPr="002F3BB0">
              <w:rPr>
                <w:rFonts w:eastAsia="Times New Roman" w:cstheme="minorHAnsi"/>
                <w:b/>
                <w:bCs/>
                <w:i w:val="0"/>
                <w:sz w:val="22"/>
                <w:szCs w:val="22"/>
                <w:lang w:eastAsia="en-AU"/>
              </w:rPr>
              <w:t xml:space="preserve"> social media</w:t>
            </w:r>
          </w:p>
        </w:tc>
        <w:tc>
          <w:tcPr>
            <w:tcW w:w="2228" w:type="dxa"/>
            <w:tcBorders>
              <w:bottom w:val="nil"/>
            </w:tcBorders>
            <w:shd w:val="clear" w:color="auto" w:fill="auto"/>
          </w:tcPr>
          <w:p w:rsidR="006762DE" w:rsidRPr="002F3BB0" w:rsidRDefault="006762DE" w:rsidP="00457B20">
            <w:pPr>
              <w:spacing w:before="40" w:after="40" w:line="240" w:lineRule="auto"/>
              <w:jc w:val="center"/>
              <w:rPr>
                <w:rFonts w:eastAsia="Times New Roman" w:cstheme="minorHAnsi"/>
                <w:b/>
                <w:i w:val="0"/>
                <w:sz w:val="22"/>
                <w:szCs w:val="22"/>
                <w:lang w:eastAsia="en-AU"/>
              </w:rPr>
            </w:pPr>
            <w:r w:rsidRPr="002F3BB0">
              <w:rPr>
                <w:rFonts w:eastAsia="Times New Roman" w:cstheme="minorHAnsi"/>
                <w:b/>
                <w:i w:val="0"/>
                <w:sz w:val="22"/>
                <w:szCs w:val="22"/>
                <w:lang w:eastAsia="en-AU"/>
              </w:rPr>
              <w:t xml:space="preserve">Partnerships </w:t>
            </w:r>
            <w:r w:rsidR="005644F0">
              <w:rPr>
                <w:rFonts w:eastAsia="Times New Roman" w:cstheme="minorHAnsi"/>
                <w:b/>
                <w:i w:val="0"/>
                <w:sz w:val="22"/>
                <w:szCs w:val="22"/>
                <w:lang w:eastAsia="en-AU"/>
              </w:rPr>
              <w:t>and</w:t>
            </w:r>
            <w:r w:rsidRPr="002F3BB0">
              <w:rPr>
                <w:rFonts w:eastAsia="Times New Roman" w:cstheme="minorHAnsi"/>
                <w:b/>
                <w:i w:val="0"/>
                <w:sz w:val="22"/>
                <w:szCs w:val="22"/>
                <w:lang w:eastAsia="en-AU"/>
              </w:rPr>
              <w:t xml:space="preserve"> networks</w:t>
            </w:r>
          </w:p>
        </w:tc>
        <w:tc>
          <w:tcPr>
            <w:tcW w:w="2350" w:type="dxa"/>
            <w:tcBorders>
              <w:bottom w:val="nil"/>
            </w:tcBorders>
            <w:shd w:val="clear" w:color="auto" w:fill="auto"/>
          </w:tcPr>
          <w:p w:rsidR="006762DE" w:rsidRPr="002F3BB0" w:rsidRDefault="006762DE" w:rsidP="003E64E9">
            <w:pPr>
              <w:spacing w:before="40" w:after="40" w:line="240" w:lineRule="auto"/>
              <w:jc w:val="center"/>
              <w:rPr>
                <w:rFonts w:eastAsia="Times New Roman" w:cstheme="minorHAnsi"/>
                <w:b/>
                <w:bCs/>
                <w:i w:val="0"/>
                <w:sz w:val="22"/>
                <w:szCs w:val="22"/>
                <w:lang w:eastAsia="en-AU"/>
              </w:rPr>
            </w:pPr>
            <w:r w:rsidRPr="002F3BB0">
              <w:rPr>
                <w:rFonts w:eastAsia="Times New Roman" w:cstheme="minorHAnsi"/>
                <w:b/>
                <w:bCs/>
                <w:i w:val="0"/>
                <w:sz w:val="22"/>
                <w:szCs w:val="22"/>
                <w:lang w:eastAsia="en-AU"/>
              </w:rPr>
              <w:t xml:space="preserve">Information products </w:t>
            </w:r>
            <w:r w:rsidR="005644F0">
              <w:rPr>
                <w:rFonts w:eastAsia="Times New Roman" w:cstheme="minorHAnsi"/>
                <w:b/>
                <w:bCs/>
                <w:i w:val="0"/>
                <w:sz w:val="22"/>
                <w:szCs w:val="22"/>
                <w:lang w:eastAsia="en-AU"/>
              </w:rPr>
              <w:t>and</w:t>
            </w:r>
            <w:r w:rsidRPr="002F3BB0">
              <w:rPr>
                <w:rFonts w:eastAsia="Times New Roman" w:cstheme="minorHAnsi"/>
                <w:b/>
                <w:bCs/>
                <w:i w:val="0"/>
                <w:sz w:val="22"/>
                <w:szCs w:val="22"/>
                <w:lang w:eastAsia="en-AU"/>
              </w:rPr>
              <w:t xml:space="preserve"> services</w:t>
            </w:r>
          </w:p>
        </w:tc>
      </w:tr>
      <w:tr w:rsidR="0043542A" w:rsidRPr="002F3BB0" w:rsidTr="006762DE">
        <w:trPr>
          <w:trHeight w:val="380"/>
          <w:tblCellSpacing w:w="20" w:type="dxa"/>
        </w:trPr>
        <w:tc>
          <w:tcPr>
            <w:tcW w:w="2350" w:type="dxa"/>
            <w:tcBorders>
              <w:top w:val="nil"/>
            </w:tcBorders>
            <w:shd w:val="clear" w:color="auto" w:fill="auto"/>
          </w:tcPr>
          <w:p w:rsidR="0043542A" w:rsidRPr="002F3BB0" w:rsidRDefault="0043542A" w:rsidP="00457B20">
            <w:pPr>
              <w:spacing w:before="120" w:after="40" w:line="240" w:lineRule="auto"/>
              <w:jc w:val="center"/>
              <w:rPr>
                <w:rFonts w:eastAsia="Times New Roman" w:cstheme="minorHAnsi"/>
                <w:b/>
                <w:i w:val="0"/>
                <w:sz w:val="22"/>
                <w:szCs w:val="22"/>
                <w:lang w:eastAsia="en-AU"/>
              </w:rPr>
            </w:pPr>
            <w:r w:rsidRPr="002F3BB0">
              <w:rPr>
                <w:rFonts w:eastAsia="Times New Roman" w:cstheme="minorHAnsi"/>
                <w:i w:val="0"/>
                <w:sz w:val="22"/>
                <w:szCs w:val="22"/>
                <w:lang w:eastAsia="en-AU"/>
              </w:rPr>
              <w:t>Increas</w:t>
            </w:r>
            <w:r w:rsidR="005644F0">
              <w:rPr>
                <w:rFonts w:eastAsia="Times New Roman" w:cstheme="minorHAnsi"/>
                <w:i w:val="0"/>
                <w:sz w:val="22"/>
                <w:szCs w:val="22"/>
                <w:lang w:eastAsia="en-AU"/>
              </w:rPr>
              <w:t>e</w:t>
            </w:r>
            <w:r w:rsidRPr="002F3BB0">
              <w:rPr>
                <w:rFonts w:eastAsia="Times New Roman" w:cstheme="minorHAnsi"/>
                <w:i w:val="0"/>
                <w:sz w:val="22"/>
                <w:szCs w:val="22"/>
                <w:lang w:eastAsia="en-AU"/>
              </w:rPr>
              <w:t xml:space="preserve"> community ownership and investment in human rights</w:t>
            </w:r>
          </w:p>
        </w:tc>
        <w:tc>
          <w:tcPr>
            <w:tcW w:w="2228" w:type="dxa"/>
            <w:tcBorders>
              <w:top w:val="nil"/>
            </w:tcBorders>
            <w:shd w:val="clear" w:color="auto" w:fill="auto"/>
          </w:tcPr>
          <w:p w:rsidR="0043542A" w:rsidRPr="002F3BB0" w:rsidRDefault="0043542A" w:rsidP="00457B20">
            <w:pPr>
              <w:spacing w:before="120" w:after="40" w:line="240" w:lineRule="auto"/>
              <w:jc w:val="center"/>
              <w:rPr>
                <w:rFonts w:eastAsia="Times New Roman" w:cstheme="minorHAnsi"/>
                <w:b/>
                <w:bCs/>
                <w:i w:val="0"/>
                <w:sz w:val="22"/>
                <w:szCs w:val="22"/>
                <w:lang w:eastAsia="en-AU"/>
              </w:rPr>
            </w:pPr>
            <w:r w:rsidRPr="002F3BB0">
              <w:rPr>
                <w:rStyle w:val="Strong"/>
                <w:rFonts w:cstheme="minorHAnsi"/>
                <w:b w:val="0"/>
                <w:i w:val="0"/>
                <w:sz w:val="22"/>
                <w:szCs w:val="22"/>
              </w:rPr>
              <w:t xml:space="preserve">Broaden ADCQ’s reach through the use of the web </w:t>
            </w:r>
            <w:r w:rsidR="005644F0">
              <w:rPr>
                <w:rStyle w:val="Strong"/>
                <w:rFonts w:cstheme="minorHAnsi"/>
                <w:b w:val="0"/>
                <w:i w:val="0"/>
                <w:sz w:val="22"/>
                <w:szCs w:val="22"/>
              </w:rPr>
              <w:t>and</w:t>
            </w:r>
            <w:r w:rsidRPr="002F3BB0">
              <w:rPr>
                <w:rStyle w:val="Strong"/>
                <w:rFonts w:cstheme="minorHAnsi"/>
                <w:b w:val="0"/>
                <w:i w:val="0"/>
                <w:sz w:val="22"/>
                <w:szCs w:val="22"/>
              </w:rPr>
              <w:t xml:space="preserve"> social media to allow for education and  discussion of human rights</w:t>
            </w:r>
          </w:p>
        </w:tc>
        <w:tc>
          <w:tcPr>
            <w:tcW w:w="2228" w:type="dxa"/>
            <w:tcBorders>
              <w:top w:val="nil"/>
            </w:tcBorders>
            <w:shd w:val="clear" w:color="auto" w:fill="auto"/>
          </w:tcPr>
          <w:p w:rsidR="0043542A" w:rsidRPr="002F3BB0" w:rsidRDefault="0043542A" w:rsidP="00457B20">
            <w:pPr>
              <w:spacing w:before="120" w:after="40" w:line="240" w:lineRule="auto"/>
              <w:jc w:val="center"/>
              <w:rPr>
                <w:rFonts w:eastAsia="Times New Roman" w:cstheme="minorHAnsi"/>
                <w:b/>
                <w:bCs/>
                <w:i w:val="0"/>
                <w:sz w:val="22"/>
                <w:szCs w:val="22"/>
                <w:lang w:eastAsia="en-AU"/>
              </w:rPr>
            </w:pPr>
            <w:r w:rsidRPr="002F3BB0">
              <w:rPr>
                <w:rStyle w:val="Strong"/>
                <w:rFonts w:cstheme="minorHAnsi"/>
                <w:b w:val="0"/>
                <w:i w:val="0"/>
                <w:sz w:val="22"/>
                <w:szCs w:val="22"/>
              </w:rPr>
              <w:t>Enhance ADCQ’s reach and achievement of outcomes through collaboration</w:t>
            </w:r>
          </w:p>
        </w:tc>
        <w:tc>
          <w:tcPr>
            <w:tcW w:w="2350" w:type="dxa"/>
            <w:tcBorders>
              <w:top w:val="nil"/>
            </w:tcBorders>
            <w:shd w:val="clear" w:color="auto" w:fill="auto"/>
          </w:tcPr>
          <w:p w:rsidR="0043542A" w:rsidRPr="002F3BB0" w:rsidRDefault="0043542A" w:rsidP="00457B20">
            <w:pPr>
              <w:spacing w:before="120" w:after="40" w:line="240" w:lineRule="auto"/>
              <w:jc w:val="center"/>
              <w:rPr>
                <w:rFonts w:eastAsia="Times New Roman" w:cstheme="minorHAnsi"/>
                <w:b/>
                <w:bCs/>
                <w:i w:val="0"/>
                <w:sz w:val="22"/>
                <w:szCs w:val="22"/>
                <w:lang w:eastAsia="en-AU"/>
              </w:rPr>
            </w:pPr>
            <w:r w:rsidRPr="002F3BB0">
              <w:rPr>
                <w:rStyle w:val="Strong"/>
                <w:rFonts w:cstheme="minorHAnsi"/>
                <w:b w:val="0"/>
                <w:i w:val="0"/>
                <w:sz w:val="22"/>
                <w:szCs w:val="22"/>
              </w:rPr>
              <w:t>Maintain a range of products and services that provide clear and accurate information in an engaging and accessible manner</w:t>
            </w:r>
          </w:p>
        </w:tc>
      </w:tr>
      <w:tr w:rsidR="006762DE" w:rsidRPr="002F3BB0" w:rsidTr="006762DE">
        <w:trPr>
          <w:tblCellSpacing w:w="20" w:type="dxa"/>
        </w:trPr>
        <w:tc>
          <w:tcPr>
            <w:tcW w:w="2350" w:type="dxa"/>
            <w:tcBorders>
              <w:bottom w:val="nil"/>
            </w:tcBorders>
            <w:shd w:val="clear" w:color="auto" w:fill="auto"/>
          </w:tcPr>
          <w:p w:rsidR="006762DE" w:rsidRPr="002F3BB0" w:rsidRDefault="006762DE" w:rsidP="00457B20">
            <w:pPr>
              <w:spacing w:before="120" w:after="40" w:line="240" w:lineRule="auto"/>
              <w:jc w:val="center"/>
              <w:rPr>
                <w:rFonts w:eastAsia="Times New Roman" w:cstheme="minorHAnsi"/>
                <w:b/>
                <w:i w:val="0"/>
                <w:sz w:val="22"/>
                <w:szCs w:val="22"/>
                <w:lang w:eastAsia="en-AU"/>
              </w:rPr>
            </w:pPr>
            <w:r w:rsidRPr="002F3BB0">
              <w:rPr>
                <w:rFonts w:eastAsia="Times New Roman" w:cstheme="minorHAnsi"/>
                <w:b/>
                <w:i w:val="0"/>
                <w:sz w:val="22"/>
                <w:szCs w:val="22"/>
                <w:lang w:eastAsia="en-AU"/>
              </w:rPr>
              <w:t>Education</w:t>
            </w:r>
          </w:p>
        </w:tc>
        <w:tc>
          <w:tcPr>
            <w:tcW w:w="2228" w:type="dxa"/>
            <w:tcBorders>
              <w:bottom w:val="nil"/>
            </w:tcBorders>
            <w:shd w:val="clear" w:color="auto" w:fill="auto"/>
          </w:tcPr>
          <w:p w:rsidR="006762DE" w:rsidRPr="002F3BB0" w:rsidRDefault="006762DE" w:rsidP="00457B20">
            <w:pPr>
              <w:spacing w:before="120" w:after="40" w:line="240" w:lineRule="auto"/>
              <w:jc w:val="center"/>
              <w:rPr>
                <w:rFonts w:eastAsia="Times New Roman" w:cstheme="minorHAnsi"/>
                <w:b/>
                <w:i w:val="0"/>
                <w:sz w:val="22"/>
                <w:szCs w:val="22"/>
                <w:lang w:eastAsia="en-AU"/>
              </w:rPr>
            </w:pPr>
            <w:r w:rsidRPr="002F3BB0">
              <w:rPr>
                <w:rFonts w:eastAsia="Times New Roman" w:cstheme="minorHAnsi"/>
                <w:b/>
                <w:i w:val="0"/>
                <w:sz w:val="22"/>
                <w:szCs w:val="22"/>
                <w:lang w:eastAsia="en-AU"/>
              </w:rPr>
              <w:t>Media</w:t>
            </w:r>
          </w:p>
        </w:tc>
        <w:tc>
          <w:tcPr>
            <w:tcW w:w="2228" w:type="dxa"/>
            <w:tcBorders>
              <w:bottom w:val="nil"/>
            </w:tcBorders>
            <w:shd w:val="clear" w:color="auto" w:fill="auto"/>
          </w:tcPr>
          <w:p w:rsidR="006762DE" w:rsidRPr="002F3BB0" w:rsidRDefault="006762DE" w:rsidP="00457B20">
            <w:pPr>
              <w:spacing w:before="120" w:after="40" w:line="240" w:lineRule="auto"/>
              <w:jc w:val="center"/>
              <w:rPr>
                <w:rFonts w:eastAsia="Times New Roman" w:cstheme="minorHAnsi"/>
                <w:b/>
                <w:i w:val="0"/>
                <w:sz w:val="22"/>
                <w:szCs w:val="22"/>
                <w:lang w:eastAsia="en-AU"/>
              </w:rPr>
            </w:pPr>
            <w:r w:rsidRPr="002F3BB0">
              <w:rPr>
                <w:rFonts w:eastAsia="Times New Roman" w:cstheme="minorHAnsi"/>
                <w:b/>
                <w:i w:val="0"/>
                <w:sz w:val="22"/>
                <w:szCs w:val="22"/>
                <w:lang w:eastAsia="en-AU"/>
              </w:rPr>
              <w:t>Events</w:t>
            </w:r>
          </w:p>
        </w:tc>
        <w:tc>
          <w:tcPr>
            <w:tcW w:w="2350" w:type="dxa"/>
            <w:tcBorders>
              <w:bottom w:val="nil"/>
            </w:tcBorders>
            <w:shd w:val="clear" w:color="auto" w:fill="auto"/>
          </w:tcPr>
          <w:p w:rsidR="006762DE" w:rsidRPr="002F3BB0" w:rsidRDefault="006762DE" w:rsidP="00457B20">
            <w:pPr>
              <w:spacing w:before="120" w:after="40" w:line="240" w:lineRule="auto"/>
              <w:jc w:val="center"/>
              <w:rPr>
                <w:rFonts w:eastAsia="Times New Roman" w:cstheme="minorHAnsi"/>
                <w:b/>
                <w:bCs/>
                <w:i w:val="0"/>
                <w:sz w:val="22"/>
                <w:szCs w:val="22"/>
                <w:lang w:eastAsia="en-AU"/>
              </w:rPr>
            </w:pPr>
            <w:r w:rsidRPr="002F3BB0">
              <w:rPr>
                <w:rFonts w:eastAsia="Times New Roman" w:cstheme="minorHAnsi"/>
                <w:b/>
                <w:bCs/>
                <w:i w:val="0"/>
                <w:sz w:val="22"/>
                <w:szCs w:val="22"/>
                <w:lang w:eastAsia="en-AU"/>
              </w:rPr>
              <w:t xml:space="preserve">Marketing </w:t>
            </w:r>
            <w:r w:rsidR="005644F0">
              <w:rPr>
                <w:rFonts w:eastAsia="Times New Roman" w:cstheme="minorHAnsi"/>
                <w:b/>
                <w:bCs/>
                <w:i w:val="0"/>
                <w:sz w:val="22"/>
                <w:szCs w:val="22"/>
                <w:lang w:eastAsia="en-AU"/>
              </w:rPr>
              <w:t xml:space="preserve">and </w:t>
            </w:r>
            <w:r w:rsidRPr="002F3BB0">
              <w:rPr>
                <w:rFonts w:eastAsia="Times New Roman" w:cstheme="minorHAnsi"/>
                <w:b/>
                <w:bCs/>
                <w:i w:val="0"/>
                <w:sz w:val="22"/>
                <w:szCs w:val="22"/>
                <w:lang w:eastAsia="en-AU"/>
              </w:rPr>
              <w:t>promotion</w:t>
            </w:r>
            <w:r w:rsidRPr="002F3BB0">
              <w:rPr>
                <w:rFonts w:eastAsia="Times New Roman" w:cstheme="minorHAnsi"/>
                <w:b/>
                <w:i w:val="0"/>
                <w:sz w:val="22"/>
                <w:szCs w:val="22"/>
                <w:lang w:eastAsia="en-AU"/>
              </w:rPr>
              <w:t xml:space="preserve"> </w:t>
            </w:r>
          </w:p>
        </w:tc>
      </w:tr>
      <w:tr w:rsidR="0043542A" w:rsidRPr="002A0F92" w:rsidTr="006762DE">
        <w:trPr>
          <w:tblCellSpacing w:w="20" w:type="dxa"/>
        </w:trPr>
        <w:tc>
          <w:tcPr>
            <w:tcW w:w="2350" w:type="dxa"/>
            <w:tcBorders>
              <w:top w:val="nil"/>
            </w:tcBorders>
            <w:shd w:val="clear" w:color="auto" w:fill="auto"/>
          </w:tcPr>
          <w:p w:rsidR="0043542A" w:rsidRPr="002F3BB0" w:rsidRDefault="0043542A" w:rsidP="00457B20">
            <w:pPr>
              <w:spacing w:before="120" w:after="40" w:line="240" w:lineRule="auto"/>
              <w:jc w:val="center"/>
              <w:rPr>
                <w:rFonts w:eastAsia="Times New Roman" w:cstheme="minorHAnsi"/>
                <w:b/>
                <w:i w:val="0"/>
                <w:sz w:val="22"/>
                <w:szCs w:val="22"/>
                <w:lang w:eastAsia="en-AU"/>
              </w:rPr>
            </w:pPr>
            <w:r w:rsidRPr="002F3BB0">
              <w:rPr>
                <w:rStyle w:val="Strong"/>
                <w:rFonts w:cstheme="minorHAnsi"/>
                <w:b w:val="0"/>
                <w:i w:val="0"/>
                <w:sz w:val="22"/>
                <w:szCs w:val="22"/>
              </w:rPr>
              <w:t>Establish ADCQ as the provider of Queensland’s best quality training in the field of discrimination and human rights</w:t>
            </w:r>
          </w:p>
        </w:tc>
        <w:tc>
          <w:tcPr>
            <w:tcW w:w="2228" w:type="dxa"/>
            <w:tcBorders>
              <w:top w:val="nil"/>
            </w:tcBorders>
            <w:shd w:val="clear" w:color="auto" w:fill="auto"/>
          </w:tcPr>
          <w:p w:rsidR="0043542A" w:rsidRPr="002F3BB0" w:rsidRDefault="005644F0" w:rsidP="005644F0">
            <w:pPr>
              <w:spacing w:before="120" w:after="40" w:line="240" w:lineRule="auto"/>
              <w:jc w:val="center"/>
              <w:rPr>
                <w:rFonts w:eastAsia="Times New Roman" w:cstheme="minorHAnsi"/>
                <w:b/>
                <w:i w:val="0"/>
                <w:sz w:val="22"/>
                <w:szCs w:val="22"/>
                <w:lang w:eastAsia="en-AU"/>
              </w:rPr>
            </w:pPr>
            <w:r>
              <w:rPr>
                <w:rStyle w:val="Strong"/>
                <w:rFonts w:cstheme="minorHAnsi"/>
                <w:b w:val="0"/>
                <w:i w:val="0"/>
                <w:sz w:val="22"/>
                <w:szCs w:val="22"/>
              </w:rPr>
              <w:t>G</w:t>
            </w:r>
            <w:r w:rsidR="0043542A" w:rsidRPr="002F3BB0">
              <w:rPr>
                <w:rStyle w:val="Strong"/>
                <w:rFonts w:cstheme="minorHAnsi"/>
                <w:b w:val="0"/>
                <w:i w:val="0"/>
                <w:sz w:val="22"/>
                <w:szCs w:val="22"/>
              </w:rPr>
              <w:t>row the media as a vessel for the promotion of human rights and education of the Queensland community</w:t>
            </w:r>
          </w:p>
        </w:tc>
        <w:tc>
          <w:tcPr>
            <w:tcW w:w="2228" w:type="dxa"/>
            <w:tcBorders>
              <w:top w:val="nil"/>
            </w:tcBorders>
            <w:shd w:val="clear" w:color="auto" w:fill="auto"/>
          </w:tcPr>
          <w:p w:rsidR="0043542A" w:rsidRPr="002F3BB0" w:rsidRDefault="0043542A" w:rsidP="00457B20">
            <w:pPr>
              <w:spacing w:before="120" w:after="40" w:line="240" w:lineRule="auto"/>
              <w:jc w:val="center"/>
              <w:rPr>
                <w:rFonts w:eastAsia="Times New Roman" w:cstheme="minorHAnsi"/>
                <w:b/>
                <w:i w:val="0"/>
                <w:sz w:val="22"/>
                <w:szCs w:val="22"/>
                <w:lang w:eastAsia="en-AU"/>
              </w:rPr>
            </w:pPr>
            <w:r w:rsidRPr="002F3BB0">
              <w:rPr>
                <w:rStyle w:val="Strong"/>
                <w:rFonts w:cstheme="minorHAnsi"/>
                <w:b w:val="0"/>
                <w:i w:val="0"/>
                <w:sz w:val="22"/>
                <w:szCs w:val="22"/>
              </w:rPr>
              <w:t>Maximise community engagement opportunities through involvement in key human rights events</w:t>
            </w:r>
          </w:p>
        </w:tc>
        <w:tc>
          <w:tcPr>
            <w:tcW w:w="2350" w:type="dxa"/>
            <w:tcBorders>
              <w:top w:val="nil"/>
            </w:tcBorders>
            <w:shd w:val="clear" w:color="auto" w:fill="auto"/>
          </w:tcPr>
          <w:p w:rsidR="0043542A" w:rsidRPr="002F3BB0" w:rsidRDefault="0043542A" w:rsidP="00457B20">
            <w:pPr>
              <w:spacing w:before="120" w:after="40" w:line="240" w:lineRule="auto"/>
              <w:jc w:val="center"/>
              <w:rPr>
                <w:rFonts w:eastAsia="Times New Roman" w:cstheme="minorHAnsi"/>
                <w:b/>
                <w:i w:val="0"/>
                <w:sz w:val="22"/>
                <w:szCs w:val="22"/>
                <w:lang w:eastAsia="en-AU"/>
              </w:rPr>
            </w:pPr>
            <w:r w:rsidRPr="002F3BB0">
              <w:rPr>
                <w:rStyle w:val="Strong"/>
                <w:rFonts w:cstheme="minorHAnsi"/>
                <w:b w:val="0"/>
                <w:i w:val="0"/>
                <w:sz w:val="22"/>
                <w:szCs w:val="22"/>
              </w:rPr>
              <w:t>Build a recognisable ADCQ brand, associated with quality education, professional complaint management and a fair and inclusive QLD.</w:t>
            </w:r>
          </w:p>
        </w:tc>
      </w:tr>
    </w:tbl>
    <w:p w:rsidR="002C10F4" w:rsidRDefault="002C10F4" w:rsidP="002C10F4">
      <w:pPr>
        <w:spacing w:before="360" w:after="120" w:line="240" w:lineRule="auto"/>
        <w:rPr>
          <w:b/>
          <w:i w:val="0"/>
          <w:sz w:val="22"/>
          <w:szCs w:val="22"/>
        </w:rPr>
      </w:pPr>
    </w:p>
    <w:p w:rsidR="002C10F4" w:rsidRDefault="002C10F4">
      <w:pPr>
        <w:rPr>
          <w:b/>
          <w:i w:val="0"/>
          <w:sz w:val="22"/>
          <w:szCs w:val="22"/>
        </w:rPr>
      </w:pPr>
      <w:r>
        <w:rPr>
          <w:b/>
          <w:i w:val="0"/>
          <w:sz w:val="22"/>
          <w:szCs w:val="22"/>
        </w:rPr>
        <w:br w:type="page"/>
      </w:r>
    </w:p>
    <w:p w:rsidR="0043542A" w:rsidRPr="00BF30CC" w:rsidRDefault="0043542A" w:rsidP="00BF30CC">
      <w:pPr>
        <w:pStyle w:val="Heading2"/>
      </w:pPr>
      <w:r w:rsidRPr="00BF30CC">
        <w:lastRenderedPageBreak/>
        <w:t>Engagement, community development</w:t>
      </w:r>
      <w:r w:rsidR="00167A2C" w:rsidRPr="00BF30CC">
        <w:t xml:space="preserve"> and major projects</w:t>
      </w:r>
    </w:p>
    <w:p w:rsidR="009D2112" w:rsidRDefault="00167A2C" w:rsidP="00182FBF">
      <w:pPr>
        <w:pStyle w:val="StoryBodytext"/>
        <w:spacing w:before="0" w:after="120" w:line="240" w:lineRule="auto"/>
        <w:rPr>
          <w:rFonts w:cstheme="minorHAnsi"/>
          <w:i w:val="0"/>
          <w:sz w:val="22"/>
          <w:szCs w:val="22"/>
        </w:rPr>
      </w:pPr>
      <w:r w:rsidRPr="002F3BB0">
        <w:rPr>
          <w:rFonts w:cstheme="minorHAnsi"/>
          <w:i w:val="0"/>
          <w:sz w:val="22"/>
          <w:szCs w:val="22"/>
        </w:rPr>
        <w:t>The ADCQ’s community engagement and development</w:t>
      </w:r>
      <w:r w:rsidR="00A8170D">
        <w:rPr>
          <w:rFonts w:cstheme="minorHAnsi"/>
          <w:i w:val="0"/>
          <w:sz w:val="22"/>
          <w:szCs w:val="22"/>
        </w:rPr>
        <w:t xml:space="preserve"> is </w:t>
      </w:r>
      <w:r w:rsidR="009D2112">
        <w:rPr>
          <w:rFonts w:cstheme="minorHAnsi"/>
          <w:i w:val="0"/>
          <w:sz w:val="22"/>
          <w:szCs w:val="22"/>
        </w:rPr>
        <w:t>the main means of achieving</w:t>
      </w:r>
      <w:r w:rsidRPr="002F3BB0">
        <w:rPr>
          <w:rFonts w:cstheme="minorHAnsi"/>
          <w:i w:val="0"/>
          <w:sz w:val="22"/>
          <w:szCs w:val="22"/>
        </w:rPr>
        <w:t xml:space="preserve"> our vision of a fair and inclusive Queensland.  These activities </w:t>
      </w:r>
      <w:r w:rsidR="009D2112">
        <w:rPr>
          <w:rFonts w:cstheme="minorHAnsi"/>
          <w:i w:val="0"/>
          <w:sz w:val="22"/>
          <w:szCs w:val="22"/>
        </w:rPr>
        <w:t>serve two purposes:</w:t>
      </w:r>
    </w:p>
    <w:p w:rsidR="009D2112" w:rsidRPr="00BD056A" w:rsidRDefault="00FF1B9D" w:rsidP="00BD056A">
      <w:pPr>
        <w:numPr>
          <w:ilvl w:val="0"/>
          <w:numId w:val="13"/>
        </w:numPr>
        <w:spacing w:before="120" w:after="0" w:line="240" w:lineRule="auto"/>
        <w:ind w:left="357" w:hanging="357"/>
        <w:rPr>
          <w:rFonts w:eastAsia="Times New Roman" w:cstheme="minorHAnsi"/>
          <w:i w:val="0"/>
          <w:sz w:val="22"/>
          <w:szCs w:val="22"/>
          <w:lang w:eastAsia="en-AU"/>
        </w:rPr>
      </w:pPr>
      <w:r w:rsidRPr="00BD056A">
        <w:rPr>
          <w:rFonts w:eastAsia="Times New Roman" w:cstheme="minorHAnsi"/>
          <w:i w:val="0"/>
          <w:sz w:val="22"/>
          <w:szCs w:val="22"/>
          <w:lang w:eastAsia="en-AU"/>
        </w:rPr>
        <w:t>raising community awareness o</w:t>
      </w:r>
      <w:r w:rsidR="00167A2C" w:rsidRPr="00BD056A">
        <w:rPr>
          <w:rFonts w:eastAsia="Times New Roman" w:cstheme="minorHAnsi"/>
          <w:i w:val="0"/>
          <w:sz w:val="22"/>
          <w:szCs w:val="22"/>
          <w:lang w:eastAsia="en-AU"/>
        </w:rPr>
        <w:t>f</w:t>
      </w:r>
      <w:r w:rsidRPr="00BD056A">
        <w:rPr>
          <w:rFonts w:eastAsia="Times New Roman" w:cstheme="minorHAnsi"/>
          <w:i w:val="0"/>
          <w:sz w:val="22"/>
          <w:szCs w:val="22"/>
          <w:lang w:eastAsia="en-AU"/>
        </w:rPr>
        <w:t xml:space="preserve"> the role of the </w:t>
      </w:r>
      <w:r w:rsidR="00167A2C" w:rsidRPr="00BD056A">
        <w:rPr>
          <w:rFonts w:eastAsia="Times New Roman" w:cstheme="minorHAnsi"/>
          <w:i w:val="0"/>
          <w:sz w:val="22"/>
          <w:szCs w:val="22"/>
          <w:lang w:eastAsia="en-AU"/>
        </w:rPr>
        <w:t>ADCQ</w:t>
      </w:r>
      <w:r w:rsidRPr="00BD056A">
        <w:rPr>
          <w:rFonts w:eastAsia="Times New Roman" w:cstheme="minorHAnsi"/>
          <w:i w:val="0"/>
          <w:sz w:val="22"/>
          <w:szCs w:val="22"/>
          <w:lang w:eastAsia="en-AU"/>
        </w:rPr>
        <w:t xml:space="preserve"> and the </w:t>
      </w:r>
      <w:r w:rsidRPr="00E7148F">
        <w:rPr>
          <w:rFonts w:eastAsia="Times New Roman" w:cstheme="minorHAnsi"/>
          <w:sz w:val="22"/>
          <w:szCs w:val="22"/>
          <w:lang w:eastAsia="en-AU"/>
        </w:rPr>
        <w:t>Anti-Discrimination Act</w:t>
      </w:r>
      <w:r w:rsidR="008D2339" w:rsidRPr="00E7148F">
        <w:rPr>
          <w:rFonts w:eastAsia="Times New Roman" w:cstheme="minorHAnsi"/>
          <w:sz w:val="22"/>
          <w:szCs w:val="22"/>
          <w:lang w:eastAsia="en-AU"/>
        </w:rPr>
        <w:t xml:space="preserve"> 1991</w:t>
      </w:r>
      <w:r w:rsidR="009D2112" w:rsidRPr="00BD056A">
        <w:rPr>
          <w:rFonts w:eastAsia="Times New Roman" w:cstheme="minorHAnsi"/>
          <w:i w:val="0"/>
          <w:sz w:val="22"/>
          <w:szCs w:val="22"/>
          <w:lang w:eastAsia="en-AU"/>
        </w:rPr>
        <w:t>;</w:t>
      </w:r>
      <w:r w:rsidR="008D2339" w:rsidRPr="00BD056A">
        <w:rPr>
          <w:rFonts w:eastAsia="Times New Roman" w:cstheme="minorHAnsi"/>
          <w:i w:val="0"/>
          <w:sz w:val="22"/>
          <w:szCs w:val="22"/>
          <w:lang w:eastAsia="en-AU"/>
        </w:rPr>
        <w:t xml:space="preserve"> </w:t>
      </w:r>
      <w:r w:rsidRPr="00BD056A">
        <w:rPr>
          <w:rFonts w:eastAsia="Times New Roman" w:cstheme="minorHAnsi"/>
          <w:i w:val="0"/>
          <w:sz w:val="22"/>
          <w:szCs w:val="22"/>
          <w:lang w:eastAsia="en-AU"/>
        </w:rPr>
        <w:t xml:space="preserve">and </w:t>
      </w:r>
    </w:p>
    <w:p w:rsidR="00FF1B9D" w:rsidRPr="002F3BB0" w:rsidRDefault="00FF1B9D" w:rsidP="00BD056A">
      <w:pPr>
        <w:numPr>
          <w:ilvl w:val="0"/>
          <w:numId w:val="13"/>
        </w:numPr>
        <w:spacing w:before="120" w:after="0" w:line="240" w:lineRule="auto"/>
        <w:ind w:left="357" w:hanging="357"/>
        <w:rPr>
          <w:rFonts w:cstheme="minorHAnsi"/>
          <w:i w:val="0"/>
          <w:sz w:val="22"/>
          <w:szCs w:val="22"/>
        </w:rPr>
      </w:pPr>
      <w:proofErr w:type="gramStart"/>
      <w:r w:rsidRPr="00BD056A">
        <w:rPr>
          <w:rFonts w:eastAsia="Times New Roman" w:cstheme="minorHAnsi"/>
          <w:i w:val="0"/>
          <w:sz w:val="22"/>
          <w:szCs w:val="22"/>
          <w:lang w:eastAsia="en-AU"/>
        </w:rPr>
        <w:t>enhancing</w:t>
      </w:r>
      <w:proofErr w:type="gramEnd"/>
      <w:r w:rsidR="00167A2C" w:rsidRPr="00BD056A">
        <w:rPr>
          <w:rFonts w:eastAsia="Times New Roman" w:cstheme="minorHAnsi"/>
          <w:i w:val="0"/>
          <w:sz w:val="22"/>
          <w:szCs w:val="22"/>
          <w:lang w:eastAsia="en-AU"/>
        </w:rPr>
        <w:t xml:space="preserve"> c</w:t>
      </w:r>
      <w:r w:rsidRPr="00BD056A">
        <w:rPr>
          <w:rFonts w:eastAsia="Times New Roman" w:cstheme="minorHAnsi"/>
          <w:i w:val="0"/>
          <w:sz w:val="22"/>
          <w:szCs w:val="22"/>
          <w:lang w:eastAsia="en-AU"/>
        </w:rPr>
        <w:t>ommunit</w:t>
      </w:r>
      <w:r w:rsidR="00167A2C" w:rsidRPr="00BD056A">
        <w:rPr>
          <w:rFonts w:eastAsia="Times New Roman" w:cstheme="minorHAnsi"/>
          <w:i w:val="0"/>
          <w:sz w:val="22"/>
          <w:szCs w:val="22"/>
          <w:lang w:eastAsia="en-AU"/>
        </w:rPr>
        <w:t>y</w:t>
      </w:r>
      <w:r w:rsidR="00167A2C" w:rsidRPr="002F3BB0">
        <w:rPr>
          <w:rFonts w:cstheme="minorHAnsi"/>
          <w:i w:val="0"/>
          <w:sz w:val="22"/>
          <w:szCs w:val="22"/>
        </w:rPr>
        <w:t xml:space="preserve"> </w:t>
      </w:r>
      <w:r w:rsidRPr="002F3BB0">
        <w:rPr>
          <w:rFonts w:cstheme="minorHAnsi"/>
          <w:i w:val="0"/>
          <w:sz w:val="22"/>
          <w:szCs w:val="22"/>
        </w:rPr>
        <w:t>capacity to create opportunities for human rights to flourish.</w:t>
      </w:r>
    </w:p>
    <w:p w:rsidR="00942AFC" w:rsidRPr="002F3BB0" w:rsidRDefault="00942AFC" w:rsidP="005C44D1">
      <w:pPr>
        <w:spacing w:before="240" w:after="0" w:line="240" w:lineRule="auto"/>
        <w:rPr>
          <w:rFonts w:cstheme="minorHAnsi"/>
          <w:i w:val="0"/>
          <w:sz w:val="22"/>
          <w:szCs w:val="22"/>
        </w:rPr>
      </w:pPr>
      <w:r w:rsidRPr="002F3BB0">
        <w:rPr>
          <w:rFonts w:cstheme="minorHAnsi"/>
          <w:i w:val="0"/>
          <w:sz w:val="22"/>
          <w:szCs w:val="22"/>
        </w:rPr>
        <w:t xml:space="preserve">The </w:t>
      </w:r>
      <w:r w:rsidR="00167A2C" w:rsidRPr="002F3BB0">
        <w:rPr>
          <w:rFonts w:cstheme="minorHAnsi"/>
          <w:i w:val="0"/>
          <w:sz w:val="22"/>
          <w:szCs w:val="22"/>
        </w:rPr>
        <w:t>ADCQ</w:t>
      </w:r>
      <w:r w:rsidRPr="002F3BB0">
        <w:rPr>
          <w:rFonts w:cstheme="minorHAnsi"/>
          <w:i w:val="0"/>
          <w:sz w:val="22"/>
          <w:szCs w:val="22"/>
        </w:rPr>
        <w:t xml:space="preserve"> aims to actively identify, direct and support the capabilities of individuals and groups to achieve positive outcomes and create spaces where human rights can flourish. </w:t>
      </w:r>
      <w:r w:rsidR="00167A2C" w:rsidRPr="002F3BB0">
        <w:rPr>
          <w:rFonts w:cstheme="minorHAnsi"/>
          <w:i w:val="0"/>
          <w:sz w:val="22"/>
          <w:szCs w:val="22"/>
        </w:rPr>
        <w:t>ADCQ’s role is to provide information, connect people, build networks, and coordinate community projects and events. Major achievements in this area throughout 201</w:t>
      </w:r>
      <w:r w:rsidR="00090DC7" w:rsidRPr="002F3BB0">
        <w:rPr>
          <w:rFonts w:cstheme="minorHAnsi"/>
          <w:i w:val="0"/>
          <w:sz w:val="22"/>
          <w:szCs w:val="22"/>
        </w:rPr>
        <w:t>3</w:t>
      </w:r>
      <w:r w:rsidR="00167A2C" w:rsidRPr="002F3BB0">
        <w:rPr>
          <w:rFonts w:cstheme="minorHAnsi"/>
          <w:i w:val="0"/>
          <w:sz w:val="22"/>
          <w:szCs w:val="22"/>
        </w:rPr>
        <w:t>-1</w:t>
      </w:r>
      <w:r w:rsidR="009D2112">
        <w:rPr>
          <w:rFonts w:cstheme="minorHAnsi"/>
          <w:i w:val="0"/>
          <w:sz w:val="22"/>
          <w:szCs w:val="22"/>
        </w:rPr>
        <w:t>4</w:t>
      </w:r>
      <w:r w:rsidR="00406669">
        <w:rPr>
          <w:rFonts w:cstheme="minorHAnsi"/>
          <w:i w:val="0"/>
          <w:sz w:val="22"/>
          <w:szCs w:val="22"/>
        </w:rPr>
        <w:t xml:space="preserve"> include:</w:t>
      </w:r>
    </w:p>
    <w:p w:rsidR="00942AFC" w:rsidRPr="005C44D1" w:rsidRDefault="00942AFC" w:rsidP="00BF30CC">
      <w:pPr>
        <w:pStyle w:val="Heading2"/>
        <w:rPr>
          <w:i/>
        </w:rPr>
      </w:pPr>
      <w:r w:rsidRPr="005C44D1">
        <w:t>Schools project</w:t>
      </w:r>
    </w:p>
    <w:p w:rsidR="00146733" w:rsidRPr="002F3BB0" w:rsidRDefault="007B5B53" w:rsidP="00182FBF">
      <w:pPr>
        <w:spacing w:after="120" w:line="240" w:lineRule="auto"/>
        <w:rPr>
          <w:rFonts w:cstheme="minorHAnsi"/>
          <w:i w:val="0"/>
          <w:sz w:val="22"/>
          <w:szCs w:val="22"/>
        </w:rPr>
      </w:pPr>
      <w:r w:rsidRPr="002F3BB0">
        <w:rPr>
          <w:rFonts w:cstheme="minorHAnsi"/>
          <w:i w:val="0"/>
          <w:sz w:val="22"/>
          <w:szCs w:val="22"/>
        </w:rPr>
        <w:t>In 2012-13 the ADCQ commenced a project to develop resources for senior high schools students and teachers</w:t>
      </w:r>
      <w:r w:rsidR="00143BCA" w:rsidRPr="002F3BB0">
        <w:rPr>
          <w:rFonts w:cstheme="minorHAnsi"/>
          <w:i w:val="0"/>
          <w:sz w:val="22"/>
          <w:szCs w:val="22"/>
        </w:rPr>
        <w:t xml:space="preserve"> about rights and responsibilities under the </w:t>
      </w:r>
      <w:r w:rsidR="00143BCA" w:rsidRPr="002F3BB0">
        <w:rPr>
          <w:rFonts w:cstheme="minorHAnsi"/>
          <w:sz w:val="22"/>
          <w:szCs w:val="22"/>
        </w:rPr>
        <w:t>Anti-Discrimination Act 1991.</w:t>
      </w:r>
      <w:r w:rsidR="00143BCA" w:rsidRPr="002F3BB0">
        <w:rPr>
          <w:rFonts w:cstheme="minorHAnsi"/>
          <w:i w:val="0"/>
          <w:sz w:val="22"/>
          <w:szCs w:val="22"/>
        </w:rPr>
        <w:t xml:space="preserve"> The first phase of this project was completed in the current reporting period with the launch of the </w:t>
      </w:r>
      <w:r w:rsidR="00143BCA" w:rsidRPr="002F3BB0">
        <w:rPr>
          <w:rFonts w:cstheme="minorHAnsi"/>
          <w:sz w:val="22"/>
          <w:szCs w:val="22"/>
        </w:rPr>
        <w:t>Discrimination and Sexual Harassment at Work</w:t>
      </w:r>
      <w:r w:rsidR="00143BCA" w:rsidRPr="002F3BB0">
        <w:rPr>
          <w:rFonts w:cstheme="minorHAnsi"/>
          <w:i w:val="0"/>
          <w:sz w:val="22"/>
          <w:szCs w:val="22"/>
        </w:rPr>
        <w:t xml:space="preserve"> resource kit in February 2014. The kit contains teaching notes, activities, fact sheets and a student booklet. It is designed to be used by year</w:t>
      </w:r>
      <w:r w:rsidR="009D2112">
        <w:rPr>
          <w:rFonts w:cstheme="minorHAnsi"/>
          <w:i w:val="0"/>
          <w:sz w:val="22"/>
          <w:szCs w:val="22"/>
        </w:rPr>
        <w:t>s</w:t>
      </w:r>
      <w:r w:rsidR="00143BCA" w:rsidRPr="002F3BB0">
        <w:rPr>
          <w:rFonts w:cstheme="minorHAnsi"/>
          <w:i w:val="0"/>
          <w:sz w:val="22"/>
          <w:szCs w:val="22"/>
        </w:rPr>
        <w:t xml:space="preserve"> 10</w:t>
      </w:r>
      <w:r w:rsidR="00AB07B2">
        <w:rPr>
          <w:rFonts w:cstheme="minorHAnsi"/>
          <w:i w:val="0"/>
          <w:sz w:val="22"/>
          <w:szCs w:val="22"/>
        </w:rPr>
        <w:t xml:space="preserve"> to</w:t>
      </w:r>
      <w:r w:rsidR="00143BCA" w:rsidRPr="002F3BB0">
        <w:rPr>
          <w:rFonts w:cstheme="minorHAnsi"/>
          <w:i w:val="0"/>
          <w:sz w:val="22"/>
          <w:szCs w:val="22"/>
        </w:rPr>
        <w:t xml:space="preserve">12 students and guidance officers, pastoral care teachers and VET coordinators to support young people who are commencing work or undertaking work experience. The resources are available to print on demand from the ADCQ website. </w:t>
      </w:r>
    </w:p>
    <w:p w:rsidR="005C44D1" w:rsidRDefault="00143BCA" w:rsidP="005C44D1">
      <w:pPr>
        <w:spacing w:before="240" w:after="120" w:line="240" w:lineRule="auto"/>
        <w:rPr>
          <w:rFonts w:cstheme="minorHAnsi"/>
          <w:i w:val="0"/>
          <w:sz w:val="22"/>
          <w:szCs w:val="22"/>
        </w:rPr>
      </w:pPr>
      <w:r w:rsidRPr="002F3BB0">
        <w:rPr>
          <w:rFonts w:cstheme="minorHAnsi"/>
          <w:i w:val="0"/>
          <w:sz w:val="22"/>
          <w:szCs w:val="22"/>
        </w:rPr>
        <w:t xml:space="preserve">Evaluation of phase one of the </w:t>
      </w:r>
      <w:proofErr w:type="gramStart"/>
      <w:r w:rsidRPr="002F3BB0">
        <w:rPr>
          <w:rFonts w:cstheme="minorHAnsi"/>
          <w:i w:val="0"/>
          <w:sz w:val="22"/>
          <w:szCs w:val="22"/>
        </w:rPr>
        <w:t>project</w:t>
      </w:r>
      <w:proofErr w:type="gramEnd"/>
      <w:r w:rsidRPr="002F3BB0">
        <w:rPr>
          <w:rFonts w:cstheme="minorHAnsi"/>
          <w:i w:val="0"/>
          <w:sz w:val="22"/>
          <w:szCs w:val="22"/>
        </w:rPr>
        <w:t xml:space="preserve"> identified that the resource could be enhanced by adding more interactive elements as well as adapting the resource for specific student groups including non-English speaking students and Aboriginal and Torres Strait Islander students. This will be the focus of phase two of the project throughout 2014-15.</w:t>
      </w:r>
    </w:p>
    <w:p w:rsidR="00942AFC" w:rsidRPr="005C44D1" w:rsidRDefault="00311BB3" w:rsidP="00BF30CC">
      <w:pPr>
        <w:pStyle w:val="Heading2"/>
        <w:rPr>
          <w:i/>
        </w:rPr>
      </w:pPr>
      <w:r w:rsidRPr="005C44D1">
        <w:t>Lockyer Valley community development project</w:t>
      </w:r>
    </w:p>
    <w:p w:rsidR="008556CD" w:rsidRPr="002F3BB0" w:rsidRDefault="005575D2" w:rsidP="00182FBF">
      <w:pPr>
        <w:spacing w:after="120" w:line="240" w:lineRule="auto"/>
        <w:rPr>
          <w:rFonts w:cstheme="minorHAnsi"/>
          <w:i w:val="0"/>
          <w:sz w:val="22"/>
          <w:szCs w:val="22"/>
        </w:rPr>
      </w:pPr>
      <w:r w:rsidRPr="002F3BB0">
        <w:rPr>
          <w:rFonts w:cstheme="minorHAnsi"/>
          <w:i w:val="0"/>
          <w:sz w:val="22"/>
          <w:szCs w:val="22"/>
        </w:rPr>
        <w:t>Since 2012, t</w:t>
      </w:r>
      <w:r w:rsidR="005F25BF" w:rsidRPr="002F3BB0">
        <w:rPr>
          <w:rFonts w:cstheme="minorHAnsi"/>
          <w:i w:val="0"/>
          <w:sz w:val="22"/>
          <w:szCs w:val="22"/>
        </w:rPr>
        <w:t xml:space="preserve">he ADCQ has </w:t>
      </w:r>
      <w:r w:rsidRPr="002F3BB0">
        <w:rPr>
          <w:rFonts w:cstheme="minorHAnsi"/>
          <w:i w:val="0"/>
          <w:sz w:val="22"/>
          <w:szCs w:val="22"/>
        </w:rPr>
        <w:t>been working in partnership with</w:t>
      </w:r>
      <w:r w:rsidR="005F25BF" w:rsidRPr="002F3BB0">
        <w:rPr>
          <w:rFonts w:cstheme="minorHAnsi"/>
          <w:i w:val="0"/>
          <w:sz w:val="22"/>
          <w:szCs w:val="22"/>
        </w:rPr>
        <w:t xml:space="preserve"> the Local Area Multicultural Partnership (LAMP) office in Lockyer Valley Regional Council </w:t>
      </w:r>
      <w:r w:rsidR="00AB07B2">
        <w:rPr>
          <w:rFonts w:cstheme="minorHAnsi"/>
          <w:i w:val="0"/>
          <w:sz w:val="22"/>
          <w:szCs w:val="22"/>
        </w:rPr>
        <w:t xml:space="preserve">on </w:t>
      </w:r>
      <w:r w:rsidR="005F25BF" w:rsidRPr="002F3BB0">
        <w:rPr>
          <w:rFonts w:cstheme="minorHAnsi"/>
          <w:i w:val="0"/>
          <w:sz w:val="22"/>
          <w:szCs w:val="22"/>
        </w:rPr>
        <w:t>a community development project in th</w:t>
      </w:r>
      <w:r w:rsidR="00AB07B2">
        <w:rPr>
          <w:rFonts w:cstheme="minorHAnsi"/>
          <w:i w:val="0"/>
          <w:sz w:val="22"/>
          <w:szCs w:val="22"/>
        </w:rPr>
        <w:t>e</w:t>
      </w:r>
      <w:r w:rsidR="005F25BF" w:rsidRPr="002F3BB0">
        <w:rPr>
          <w:rFonts w:cstheme="minorHAnsi"/>
          <w:i w:val="0"/>
          <w:sz w:val="22"/>
          <w:szCs w:val="22"/>
        </w:rPr>
        <w:t xml:space="preserve"> region. The aim of the project is to engage </w:t>
      </w:r>
      <w:r w:rsidR="008556CD" w:rsidRPr="002F3BB0">
        <w:rPr>
          <w:rFonts w:cstheme="minorHAnsi"/>
          <w:i w:val="0"/>
          <w:sz w:val="22"/>
          <w:szCs w:val="22"/>
        </w:rPr>
        <w:t xml:space="preserve">with </w:t>
      </w:r>
      <w:r w:rsidR="00AB07B2">
        <w:rPr>
          <w:rFonts w:cstheme="minorHAnsi"/>
          <w:i w:val="0"/>
          <w:sz w:val="22"/>
          <w:szCs w:val="22"/>
        </w:rPr>
        <w:t xml:space="preserve">local </w:t>
      </w:r>
      <w:r w:rsidR="008556CD" w:rsidRPr="002F3BB0">
        <w:rPr>
          <w:rFonts w:cstheme="minorHAnsi"/>
          <w:i w:val="0"/>
          <w:sz w:val="22"/>
          <w:szCs w:val="22"/>
        </w:rPr>
        <w:t>businesses, organisations and the community to improve opportunities and quality of life for vulnerable groups</w:t>
      </w:r>
      <w:r w:rsidR="005F25BF" w:rsidRPr="002F3BB0">
        <w:rPr>
          <w:rFonts w:cstheme="minorHAnsi"/>
          <w:i w:val="0"/>
          <w:sz w:val="22"/>
          <w:szCs w:val="22"/>
        </w:rPr>
        <w:t xml:space="preserve">, in particular migrant communities. </w:t>
      </w:r>
    </w:p>
    <w:p w:rsidR="005575D2" w:rsidRPr="002F3BB0" w:rsidRDefault="005575D2" w:rsidP="00BD056A">
      <w:pPr>
        <w:spacing w:before="240" w:after="120" w:line="240" w:lineRule="auto"/>
        <w:rPr>
          <w:rFonts w:cstheme="minorHAnsi"/>
          <w:i w:val="0"/>
          <w:sz w:val="22"/>
          <w:szCs w:val="22"/>
        </w:rPr>
      </w:pPr>
      <w:r w:rsidRPr="002F3BB0">
        <w:rPr>
          <w:rFonts w:cstheme="minorHAnsi"/>
          <w:i w:val="0"/>
          <w:sz w:val="22"/>
          <w:szCs w:val="22"/>
        </w:rPr>
        <w:t>Major activities undertaken in 2013-14 include</w:t>
      </w:r>
      <w:r w:rsidR="00B500B9">
        <w:rPr>
          <w:rFonts w:cstheme="minorHAnsi"/>
          <w:i w:val="0"/>
          <w:sz w:val="22"/>
          <w:szCs w:val="22"/>
        </w:rPr>
        <w:t>d</w:t>
      </w:r>
      <w:r w:rsidRPr="002F3BB0">
        <w:rPr>
          <w:rFonts w:cstheme="minorHAnsi"/>
          <w:i w:val="0"/>
          <w:sz w:val="22"/>
          <w:szCs w:val="22"/>
        </w:rPr>
        <w:t xml:space="preserve">: </w:t>
      </w:r>
    </w:p>
    <w:p w:rsidR="005575D2" w:rsidRPr="00BD056A" w:rsidRDefault="00B500B9" w:rsidP="00BD056A">
      <w:pPr>
        <w:numPr>
          <w:ilvl w:val="0"/>
          <w:numId w:val="13"/>
        </w:numPr>
        <w:spacing w:before="120" w:after="0" w:line="240" w:lineRule="auto"/>
        <w:ind w:left="357" w:hanging="357"/>
        <w:rPr>
          <w:rFonts w:eastAsia="Times New Roman" w:cstheme="minorHAnsi"/>
          <w:i w:val="0"/>
          <w:sz w:val="22"/>
          <w:szCs w:val="22"/>
          <w:lang w:eastAsia="en-AU"/>
        </w:rPr>
      </w:pPr>
      <w:r w:rsidRPr="00BD056A">
        <w:rPr>
          <w:rFonts w:eastAsia="Times New Roman" w:cstheme="minorHAnsi"/>
          <w:i w:val="0"/>
          <w:sz w:val="22"/>
          <w:szCs w:val="22"/>
          <w:lang w:eastAsia="en-AU"/>
        </w:rPr>
        <w:t>t</w:t>
      </w:r>
      <w:r w:rsidR="005575D2" w:rsidRPr="00BD056A">
        <w:rPr>
          <w:rFonts w:eastAsia="Times New Roman" w:cstheme="minorHAnsi"/>
          <w:i w:val="0"/>
          <w:sz w:val="22"/>
          <w:szCs w:val="22"/>
          <w:lang w:eastAsia="en-AU"/>
        </w:rPr>
        <w:t>wo community conversations held in August and November 2013 exploring the idea of creating an inclusive community;</w:t>
      </w:r>
    </w:p>
    <w:p w:rsidR="005575D2" w:rsidRPr="00BD056A" w:rsidRDefault="00B500B9" w:rsidP="00BD056A">
      <w:pPr>
        <w:numPr>
          <w:ilvl w:val="0"/>
          <w:numId w:val="13"/>
        </w:numPr>
        <w:spacing w:before="120" w:after="0" w:line="240" w:lineRule="auto"/>
        <w:ind w:left="357" w:hanging="357"/>
        <w:rPr>
          <w:rFonts w:eastAsia="Times New Roman" w:cstheme="minorHAnsi"/>
          <w:i w:val="0"/>
          <w:sz w:val="22"/>
          <w:szCs w:val="22"/>
          <w:lang w:eastAsia="en-AU"/>
        </w:rPr>
      </w:pPr>
      <w:r w:rsidRPr="00BD056A">
        <w:rPr>
          <w:rFonts w:eastAsia="Times New Roman" w:cstheme="minorHAnsi"/>
          <w:i w:val="0"/>
          <w:sz w:val="22"/>
          <w:szCs w:val="22"/>
          <w:lang w:eastAsia="en-AU"/>
        </w:rPr>
        <w:t>p</w:t>
      </w:r>
      <w:r w:rsidR="005575D2" w:rsidRPr="00BD056A">
        <w:rPr>
          <w:rFonts w:eastAsia="Times New Roman" w:cstheme="minorHAnsi"/>
          <w:i w:val="0"/>
          <w:sz w:val="22"/>
          <w:szCs w:val="22"/>
          <w:lang w:eastAsia="en-AU"/>
        </w:rPr>
        <w:t xml:space="preserve">resentation at the Lockyer Valley Better Business Network breakfast in November 2013 on the financial benefits of inclusive workplaces; </w:t>
      </w:r>
    </w:p>
    <w:p w:rsidR="005575D2" w:rsidRPr="00BD056A" w:rsidRDefault="00B500B9" w:rsidP="00BD056A">
      <w:pPr>
        <w:numPr>
          <w:ilvl w:val="0"/>
          <w:numId w:val="13"/>
        </w:numPr>
        <w:spacing w:before="120" w:after="0" w:line="240" w:lineRule="auto"/>
        <w:ind w:left="357" w:hanging="357"/>
        <w:rPr>
          <w:rFonts w:eastAsia="Times New Roman" w:cstheme="minorHAnsi"/>
          <w:i w:val="0"/>
          <w:sz w:val="22"/>
          <w:szCs w:val="22"/>
          <w:lang w:eastAsia="en-AU"/>
        </w:rPr>
      </w:pPr>
      <w:r w:rsidRPr="00BD056A">
        <w:rPr>
          <w:rFonts w:eastAsia="Times New Roman" w:cstheme="minorHAnsi"/>
          <w:i w:val="0"/>
          <w:sz w:val="22"/>
          <w:szCs w:val="22"/>
          <w:lang w:eastAsia="en-AU"/>
        </w:rPr>
        <w:t>c</w:t>
      </w:r>
      <w:r w:rsidR="005575D2" w:rsidRPr="00BD056A">
        <w:rPr>
          <w:rFonts w:eastAsia="Times New Roman" w:cstheme="minorHAnsi"/>
          <w:i w:val="0"/>
          <w:sz w:val="22"/>
          <w:szCs w:val="22"/>
          <w:lang w:eastAsia="en-AU"/>
        </w:rPr>
        <w:t>ommunity visits conducted to a variety of stakeholders in March and June 2014 providing information about the ADCQ and the work being undertaken in the Lockyer Valley;</w:t>
      </w:r>
      <w:r w:rsidRPr="00BD056A">
        <w:rPr>
          <w:rFonts w:eastAsia="Times New Roman" w:cstheme="minorHAnsi"/>
          <w:i w:val="0"/>
          <w:sz w:val="22"/>
          <w:szCs w:val="22"/>
          <w:lang w:eastAsia="en-AU"/>
        </w:rPr>
        <w:t xml:space="preserve"> and</w:t>
      </w:r>
    </w:p>
    <w:p w:rsidR="005575D2" w:rsidRPr="00BD056A" w:rsidRDefault="00B500B9" w:rsidP="00BD056A">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BD056A">
        <w:rPr>
          <w:rFonts w:eastAsia="Times New Roman" w:cstheme="minorHAnsi"/>
          <w:i w:val="0"/>
          <w:sz w:val="22"/>
          <w:szCs w:val="22"/>
          <w:lang w:eastAsia="en-AU"/>
        </w:rPr>
        <w:t>f</w:t>
      </w:r>
      <w:r w:rsidR="005575D2" w:rsidRPr="00BD056A">
        <w:rPr>
          <w:rFonts w:eastAsia="Times New Roman" w:cstheme="minorHAnsi"/>
          <w:i w:val="0"/>
          <w:sz w:val="22"/>
          <w:szCs w:val="22"/>
          <w:lang w:eastAsia="en-AU"/>
        </w:rPr>
        <w:t>acilitation</w:t>
      </w:r>
      <w:proofErr w:type="gramEnd"/>
      <w:r w:rsidR="005575D2" w:rsidRPr="00BD056A">
        <w:rPr>
          <w:rFonts w:eastAsia="Times New Roman" w:cstheme="minorHAnsi"/>
          <w:i w:val="0"/>
          <w:sz w:val="22"/>
          <w:szCs w:val="22"/>
          <w:lang w:eastAsia="en-AU"/>
        </w:rPr>
        <w:t xml:space="preserve"> of community conversation between English language providers and migrant community members in April 2014</w:t>
      </w:r>
      <w:r w:rsidRPr="00BD056A">
        <w:rPr>
          <w:rFonts w:eastAsia="Times New Roman" w:cstheme="minorHAnsi"/>
          <w:i w:val="0"/>
          <w:sz w:val="22"/>
          <w:szCs w:val="22"/>
          <w:lang w:eastAsia="en-AU"/>
        </w:rPr>
        <w:t>,</w:t>
      </w:r>
      <w:r w:rsidR="005575D2" w:rsidRPr="00BD056A">
        <w:rPr>
          <w:rFonts w:eastAsia="Times New Roman" w:cstheme="minorHAnsi"/>
          <w:i w:val="0"/>
          <w:sz w:val="22"/>
          <w:szCs w:val="22"/>
          <w:lang w:eastAsia="en-AU"/>
        </w:rPr>
        <w:t xml:space="preserve"> to discuss how English language and literacy training might be re-introduced </w:t>
      </w:r>
      <w:r w:rsidR="000228C3" w:rsidRPr="00BD056A">
        <w:rPr>
          <w:rFonts w:eastAsia="Times New Roman" w:cstheme="minorHAnsi"/>
          <w:i w:val="0"/>
          <w:sz w:val="22"/>
          <w:szCs w:val="22"/>
          <w:lang w:eastAsia="en-AU"/>
        </w:rPr>
        <w:t>to</w:t>
      </w:r>
      <w:r w:rsidR="005575D2" w:rsidRPr="00BD056A">
        <w:rPr>
          <w:rFonts w:eastAsia="Times New Roman" w:cstheme="minorHAnsi"/>
          <w:i w:val="0"/>
          <w:sz w:val="22"/>
          <w:szCs w:val="22"/>
          <w:lang w:eastAsia="en-AU"/>
        </w:rPr>
        <w:t xml:space="preserve"> the community. </w:t>
      </w:r>
      <w:r w:rsidR="007826EB" w:rsidRPr="00BD056A">
        <w:rPr>
          <w:rFonts w:eastAsia="Times New Roman" w:cstheme="minorHAnsi"/>
          <w:i w:val="0"/>
          <w:sz w:val="22"/>
          <w:szCs w:val="22"/>
          <w:lang w:eastAsia="en-AU"/>
        </w:rPr>
        <w:t xml:space="preserve">A significant outcome </w:t>
      </w:r>
      <w:r w:rsidR="005575D2" w:rsidRPr="00BD056A">
        <w:rPr>
          <w:rFonts w:eastAsia="Times New Roman" w:cstheme="minorHAnsi"/>
          <w:i w:val="0"/>
          <w:sz w:val="22"/>
          <w:szCs w:val="22"/>
          <w:lang w:eastAsia="en-AU"/>
        </w:rPr>
        <w:t>of this conversation</w:t>
      </w:r>
      <w:r w:rsidR="007826EB" w:rsidRPr="00BD056A">
        <w:rPr>
          <w:rFonts w:eastAsia="Times New Roman" w:cstheme="minorHAnsi"/>
          <w:i w:val="0"/>
          <w:sz w:val="22"/>
          <w:szCs w:val="22"/>
          <w:lang w:eastAsia="en-AU"/>
        </w:rPr>
        <w:t xml:space="preserve"> </w:t>
      </w:r>
      <w:r w:rsidRPr="00BD056A">
        <w:rPr>
          <w:rFonts w:eastAsia="Times New Roman" w:cstheme="minorHAnsi"/>
          <w:i w:val="0"/>
          <w:sz w:val="22"/>
          <w:szCs w:val="22"/>
          <w:lang w:eastAsia="en-AU"/>
        </w:rPr>
        <w:t>was</w:t>
      </w:r>
      <w:r w:rsidR="007826EB" w:rsidRPr="00BD056A">
        <w:rPr>
          <w:rFonts w:eastAsia="Times New Roman" w:cstheme="minorHAnsi"/>
          <w:i w:val="0"/>
          <w:sz w:val="22"/>
          <w:szCs w:val="22"/>
          <w:lang w:eastAsia="en-AU"/>
        </w:rPr>
        <w:t xml:space="preserve"> that</w:t>
      </w:r>
      <w:r w:rsidR="005575D2" w:rsidRPr="00BD056A">
        <w:rPr>
          <w:rFonts w:eastAsia="Times New Roman" w:cstheme="minorHAnsi"/>
          <w:i w:val="0"/>
          <w:sz w:val="22"/>
          <w:szCs w:val="22"/>
          <w:lang w:eastAsia="en-AU"/>
        </w:rPr>
        <w:t xml:space="preserve"> 38 community members have been trained as volunteer English language tutors. Negotiations are still </w:t>
      </w:r>
      <w:r w:rsidRPr="00BD056A">
        <w:rPr>
          <w:rFonts w:eastAsia="Times New Roman" w:cstheme="minorHAnsi"/>
          <w:i w:val="0"/>
          <w:sz w:val="22"/>
          <w:szCs w:val="22"/>
          <w:lang w:eastAsia="en-AU"/>
        </w:rPr>
        <w:t xml:space="preserve">continuing </w:t>
      </w:r>
      <w:r w:rsidR="005575D2" w:rsidRPr="00BD056A">
        <w:rPr>
          <w:rFonts w:eastAsia="Times New Roman" w:cstheme="minorHAnsi"/>
          <w:i w:val="0"/>
          <w:sz w:val="22"/>
          <w:szCs w:val="22"/>
          <w:lang w:eastAsia="en-AU"/>
        </w:rPr>
        <w:t>with English language providers to have formal training options recommence</w:t>
      </w:r>
      <w:r w:rsidR="00406669" w:rsidRPr="00BD056A">
        <w:rPr>
          <w:rFonts w:eastAsia="Times New Roman" w:cstheme="minorHAnsi"/>
          <w:i w:val="0"/>
          <w:sz w:val="22"/>
          <w:szCs w:val="22"/>
          <w:lang w:eastAsia="en-AU"/>
        </w:rPr>
        <w:t>d in the Lockyer Valley region.</w:t>
      </w:r>
    </w:p>
    <w:p w:rsidR="00090DC7" w:rsidRPr="002F3BB0" w:rsidRDefault="00090DC7" w:rsidP="00BF30CC">
      <w:pPr>
        <w:pStyle w:val="Heading2"/>
        <w:rPr>
          <w:i/>
        </w:rPr>
      </w:pPr>
      <w:r w:rsidRPr="002F3BB0">
        <w:t>Many Cultures, One Community</w:t>
      </w:r>
    </w:p>
    <w:p w:rsidR="005575D2" w:rsidRPr="002F3BB0" w:rsidRDefault="00B500B9" w:rsidP="00BD056A">
      <w:pPr>
        <w:spacing w:before="120" w:after="0" w:line="240" w:lineRule="auto"/>
        <w:rPr>
          <w:rFonts w:cstheme="minorHAnsi"/>
          <w:i w:val="0"/>
          <w:sz w:val="22"/>
          <w:szCs w:val="22"/>
        </w:rPr>
      </w:pPr>
      <w:r>
        <w:rPr>
          <w:rFonts w:cstheme="minorHAnsi"/>
          <w:i w:val="0"/>
          <w:sz w:val="22"/>
          <w:szCs w:val="22"/>
        </w:rPr>
        <w:t>A</w:t>
      </w:r>
      <w:r w:rsidRPr="002F3BB0">
        <w:rPr>
          <w:rFonts w:cstheme="minorHAnsi"/>
          <w:i w:val="0"/>
          <w:sz w:val="22"/>
          <w:szCs w:val="22"/>
        </w:rPr>
        <w:t xml:space="preserve"> community initiative called </w:t>
      </w:r>
      <w:r>
        <w:rPr>
          <w:rFonts w:cstheme="minorHAnsi"/>
          <w:i w:val="0"/>
          <w:sz w:val="22"/>
          <w:szCs w:val="22"/>
        </w:rPr>
        <w:t>‘</w:t>
      </w:r>
      <w:r w:rsidRPr="002F3BB0">
        <w:rPr>
          <w:rFonts w:cstheme="minorHAnsi"/>
          <w:i w:val="0"/>
          <w:sz w:val="22"/>
          <w:szCs w:val="22"/>
        </w:rPr>
        <w:t>Many Cultures, One Community</w:t>
      </w:r>
      <w:r>
        <w:rPr>
          <w:rFonts w:cstheme="minorHAnsi"/>
          <w:i w:val="0"/>
          <w:sz w:val="22"/>
          <w:szCs w:val="22"/>
        </w:rPr>
        <w:t>’</w:t>
      </w:r>
      <w:r w:rsidRPr="002F3BB0">
        <w:rPr>
          <w:rFonts w:cstheme="minorHAnsi"/>
          <w:i w:val="0"/>
          <w:sz w:val="22"/>
          <w:szCs w:val="22"/>
        </w:rPr>
        <w:t xml:space="preserve"> has</w:t>
      </w:r>
      <w:r>
        <w:rPr>
          <w:rFonts w:cstheme="minorHAnsi"/>
          <w:i w:val="0"/>
          <w:sz w:val="22"/>
          <w:szCs w:val="22"/>
        </w:rPr>
        <w:t xml:space="preserve"> grown out </w:t>
      </w:r>
      <w:r w:rsidR="00A45D51" w:rsidRPr="002F3BB0">
        <w:rPr>
          <w:rFonts w:cstheme="minorHAnsi"/>
          <w:i w:val="0"/>
          <w:sz w:val="22"/>
          <w:szCs w:val="22"/>
        </w:rPr>
        <w:t>of the</w:t>
      </w:r>
      <w:r w:rsidR="005575D2" w:rsidRPr="002F3BB0">
        <w:rPr>
          <w:rFonts w:cstheme="minorHAnsi"/>
          <w:i w:val="0"/>
          <w:sz w:val="22"/>
          <w:szCs w:val="22"/>
        </w:rPr>
        <w:t xml:space="preserve"> anti-racism forum hosted by the Townsville office of ADCQ in May 2013</w:t>
      </w:r>
      <w:r>
        <w:rPr>
          <w:rFonts w:cstheme="minorHAnsi"/>
          <w:i w:val="0"/>
          <w:sz w:val="22"/>
          <w:szCs w:val="22"/>
        </w:rPr>
        <w:t xml:space="preserve">. </w:t>
      </w:r>
      <w:r w:rsidR="00A45D51" w:rsidRPr="002F3BB0">
        <w:rPr>
          <w:rFonts w:cstheme="minorHAnsi"/>
          <w:i w:val="0"/>
          <w:sz w:val="22"/>
          <w:szCs w:val="22"/>
        </w:rPr>
        <w:t xml:space="preserve">Discussion at the forum </w:t>
      </w:r>
      <w:r w:rsidR="00C12B51">
        <w:rPr>
          <w:rFonts w:cstheme="minorHAnsi"/>
          <w:i w:val="0"/>
          <w:sz w:val="22"/>
          <w:szCs w:val="22"/>
        </w:rPr>
        <w:t xml:space="preserve">revealed </w:t>
      </w:r>
      <w:r w:rsidR="00A45D51" w:rsidRPr="002F3BB0">
        <w:rPr>
          <w:rFonts w:cstheme="minorHAnsi"/>
          <w:i w:val="0"/>
          <w:sz w:val="22"/>
          <w:szCs w:val="22"/>
        </w:rPr>
        <w:t xml:space="preserve">that migrants and refugees who are new to North Queensland </w:t>
      </w:r>
      <w:r w:rsidR="00C12B51" w:rsidRPr="002F3BB0">
        <w:rPr>
          <w:rFonts w:cstheme="minorHAnsi"/>
          <w:i w:val="0"/>
          <w:sz w:val="22"/>
          <w:szCs w:val="22"/>
        </w:rPr>
        <w:t xml:space="preserve">often </w:t>
      </w:r>
      <w:r w:rsidR="00A45D51" w:rsidRPr="002F3BB0">
        <w:rPr>
          <w:rFonts w:cstheme="minorHAnsi"/>
          <w:i w:val="0"/>
          <w:sz w:val="22"/>
          <w:szCs w:val="22"/>
        </w:rPr>
        <w:t xml:space="preserve">either arrive with, or soon </w:t>
      </w:r>
      <w:r w:rsidR="00C12B51">
        <w:rPr>
          <w:rFonts w:cstheme="minorHAnsi"/>
          <w:i w:val="0"/>
          <w:sz w:val="22"/>
          <w:szCs w:val="22"/>
        </w:rPr>
        <w:t xml:space="preserve">after </w:t>
      </w:r>
      <w:r w:rsidR="00A45D51" w:rsidRPr="002F3BB0">
        <w:rPr>
          <w:rFonts w:cstheme="minorHAnsi"/>
          <w:i w:val="0"/>
          <w:sz w:val="22"/>
          <w:szCs w:val="22"/>
        </w:rPr>
        <w:t>develop</w:t>
      </w:r>
      <w:r w:rsidR="00C12B51">
        <w:rPr>
          <w:rFonts w:cstheme="minorHAnsi"/>
          <w:i w:val="0"/>
          <w:sz w:val="22"/>
          <w:szCs w:val="22"/>
        </w:rPr>
        <w:t>,</w:t>
      </w:r>
      <w:r w:rsidR="00A45D51" w:rsidRPr="002F3BB0">
        <w:rPr>
          <w:rFonts w:cstheme="minorHAnsi"/>
          <w:i w:val="0"/>
          <w:sz w:val="22"/>
          <w:szCs w:val="22"/>
        </w:rPr>
        <w:t xml:space="preserve"> negative perceptions of local Indigenous people. Similarly, migrants and refugees are often feared or misunderstood by locals. To address these issues, the </w:t>
      </w:r>
      <w:r w:rsidR="00C12B51">
        <w:rPr>
          <w:rFonts w:cstheme="minorHAnsi"/>
          <w:i w:val="0"/>
          <w:sz w:val="22"/>
          <w:szCs w:val="22"/>
        </w:rPr>
        <w:t>‘</w:t>
      </w:r>
      <w:r w:rsidR="00A45D51" w:rsidRPr="002F3BB0">
        <w:rPr>
          <w:rFonts w:cstheme="minorHAnsi"/>
          <w:i w:val="0"/>
          <w:sz w:val="22"/>
          <w:szCs w:val="22"/>
        </w:rPr>
        <w:t>Many Cultures, One Community</w:t>
      </w:r>
      <w:r w:rsidR="00C12B51">
        <w:rPr>
          <w:rFonts w:cstheme="minorHAnsi"/>
          <w:i w:val="0"/>
          <w:sz w:val="22"/>
          <w:szCs w:val="22"/>
        </w:rPr>
        <w:t>’</w:t>
      </w:r>
      <w:r w:rsidR="00A45D51" w:rsidRPr="002F3BB0">
        <w:rPr>
          <w:rFonts w:cstheme="minorHAnsi"/>
          <w:i w:val="0"/>
          <w:sz w:val="22"/>
          <w:szCs w:val="22"/>
        </w:rPr>
        <w:t xml:space="preserve"> </w:t>
      </w:r>
      <w:r w:rsidR="00A45D51" w:rsidRPr="002F3BB0">
        <w:rPr>
          <w:rFonts w:cstheme="minorHAnsi"/>
          <w:i w:val="0"/>
          <w:sz w:val="22"/>
          <w:szCs w:val="22"/>
        </w:rPr>
        <w:lastRenderedPageBreak/>
        <w:t>program aims to bring together, through a series of group discussions, migrant and refugee communities and Aboriginal and Torres Strait Islander communities with an aim to promote better understanding of each other and to discuss important issues s</w:t>
      </w:r>
      <w:r w:rsidR="00406669">
        <w:rPr>
          <w:rFonts w:cstheme="minorHAnsi"/>
          <w:i w:val="0"/>
          <w:sz w:val="22"/>
          <w:szCs w:val="22"/>
        </w:rPr>
        <w:t>uch as racism and human rights.</w:t>
      </w:r>
    </w:p>
    <w:p w:rsidR="00555854" w:rsidRPr="002F3BB0" w:rsidRDefault="00A45D51" w:rsidP="00BD056A">
      <w:pPr>
        <w:spacing w:before="240" w:after="0" w:line="240" w:lineRule="auto"/>
        <w:rPr>
          <w:rFonts w:cstheme="minorHAnsi"/>
          <w:b/>
          <w:sz w:val="22"/>
          <w:szCs w:val="22"/>
        </w:rPr>
      </w:pPr>
      <w:r w:rsidRPr="002F3BB0">
        <w:rPr>
          <w:rFonts w:cstheme="minorHAnsi"/>
          <w:i w:val="0"/>
          <w:sz w:val="22"/>
          <w:szCs w:val="22"/>
        </w:rPr>
        <w:t>The program is funded through the Department of Social Security’s Diversity and Social Cohesion Project. The ADCQ is a member of the steering committee and provides input on discrimination and human rights issues, as well as suggesting strategies for successful</w:t>
      </w:r>
      <w:r w:rsidR="00406669">
        <w:rPr>
          <w:rFonts w:cstheme="minorHAnsi"/>
          <w:i w:val="0"/>
          <w:sz w:val="22"/>
          <w:szCs w:val="22"/>
        </w:rPr>
        <w:t xml:space="preserve"> implementation of the project.</w:t>
      </w:r>
    </w:p>
    <w:p w:rsidR="00090DC7" w:rsidRPr="002F3BB0" w:rsidRDefault="00090DC7" w:rsidP="00BF30CC">
      <w:pPr>
        <w:pStyle w:val="Heading2"/>
        <w:rPr>
          <w:i/>
        </w:rPr>
      </w:pPr>
      <w:r w:rsidRPr="002F3BB0">
        <w:t>Transgender project</w:t>
      </w:r>
    </w:p>
    <w:p w:rsidR="00090DC7" w:rsidRPr="002F3BB0" w:rsidRDefault="00281685" w:rsidP="005C44D1">
      <w:pPr>
        <w:spacing w:after="0" w:line="240" w:lineRule="auto"/>
        <w:rPr>
          <w:rFonts w:cstheme="minorHAnsi"/>
          <w:b/>
          <w:sz w:val="22"/>
          <w:szCs w:val="22"/>
        </w:rPr>
      </w:pPr>
      <w:r w:rsidRPr="002F3BB0">
        <w:rPr>
          <w:rFonts w:cstheme="minorHAnsi"/>
          <w:i w:val="0"/>
          <w:sz w:val="22"/>
        </w:rPr>
        <w:t xml:space="preserve">Through the Brisbane-based </w:t>
      </w:r>
      <w:r w:rsidR="009A0E40">
        <w:rPr>
          <w:rFonts w:cstheme="minorHAnsi"/>
          <w:i w:val="0"/>
          <w:sz w:val="22"/>
        </w:rPr>
        <w:t>T</w:t>
      </w:r>
      <w:r w:rsidRPr="002F3BB0">
        <w:rPr>
          <w:rFonts w:cstheme="minorHAnsi"/>
          <w:i w:val="0"/>
          <w:sz w:val="22"/>
        </w:rPr>
        <w:t xml:space="preserve">ransgender </w:t>
      </w:r>
      <w:r w:rsidR="009A0E40">
        <w:rPr>
          <w:rFonts w:cstheme="minorHAnsi"/>
          <w:i w:val="0"/>
          <w:sz w:val="22"/>
        </w:rPr>
        <w:t>C</w:t>
      </w:r>
      <w:r w:rsidRPr="002F3BB0">
        <w:rPr>
          <w:rFonts w:cstheme="minorHAnsi"/>
          <w:i w:val="0"/>
          <w:sz w:val="22"/>
        </w:rPr>
        <w:t xml:space="preserve">ommunity </w:t>
      </w:r>
      <w:r w:rsidR="009A0E40">
        <w:rPr>
          <w:rFonts w:cstheme="minorHAnsi"/>
          <w:i w:val="0"/>
          <w:sz w:val="22"/>
        </w:rPr>
        <w:t>E</w:t>
      </w:r>
      <w:r w:rsidRPr="002F3BB0">
        <w:rPr>
          <w:rFonts w:cstheme="minorHAnsi"/>
          <w:i w:val="0"/>
          <w:sz w:val="22"/>
        </w:rPr>
        <w:t xml:space="preserve">ngagement </w:t>
      </w:r>
      <w:r w:rsidR="009A0E40">
        <w:rPr>
          <w:rFonts w:cstheme="minorHAnsi"/>
          <w:i w:val="0"/>
          <w:sz w:val="22"/>
        </w:rPr>
        <w:t>P</w:t>
      </w:r>
      <w:r w:rsidRPr="002F3BB0">
        <w:rPr>
          <w:rFonts w:cstheme="minorHAnsi"/>
          <w:i w:val="0"/>
          <w:sz w:val="22"/>
        </w:rPr>
        <w:t xml:space="preserve">roject, the Commission is engaging with stakeholders </w:t>
      </w:r>
      <w:r w:rsidR="009A0E40">
        <w:rPr>
          <w:rFonts w:cstheme="minorHAnsi"/>
          <w:i w:val="0"/>
          <w:sz w:val="22"/>
        </w:rPr>
        <w:t xml:space="preserve">about </w:t>
      </w:r>
      <w:r w:rsidRPr="002F3BB0">
        <w:rPr>
          <w:rFonts w:cstheme="minorHAnsi"/>
          <w:i w:val="0"/>
          <w:sz w:val="22"/>
        </w:rPr>
        <w:t xml:space="preserve">issues faced by transgender employees in obtaining and retaining employment. Since December 2013 we have engaged in a number of activities including representing the Commission on a panel at the </w:t>
      </w:r>
      <w:r w:rsidRPr="002F3BB0">
        <w:rPr>
          <w:rFonts w:cstheme="minorHAnsi"/>
          <w:iCs w:val="0"/>
          <w:sz w:val="22"/>
        </w:rPr>
        <w:t>Pride in Diversity</w:t>
      </w:r>
      <w:r w:rsidRPr="002F3BB0">
        <w:rPr>
          <w:rFonts w:cstheme="minorHAnsi"/>
          <w:i w:val="0"/>
          <w:sz w:val="22"/>
        </w:rPr>
        <w:t xml:space="preserve"> conference, delivering a tailored training session to trans</w:t>
      </w:r>
      <w:r w:rsidR="00CD15EE">
        <w:rPr>
          <w:rFonts w:cstheme="minorHAnsi"/>
          <w:i w:val="0"/>
          <w:sz w:val="22"/>
        </w:rPr>
        <w:t>gender</w:t>
      </w:r>
      <w:r w:rsidRPr="002F3BB0">
        <w:rPr>
          <w:rFonts w:cstheme="minorHAnsi"/>
          <w:i w:val="0"/>
          <w:sz w:val="22"/>
        </w:rPr>
        <w:t xml:space="preserve"> individuals and allies, and holding a workshop with members of trans</w:t>
      </w:r>
      <w:r w:rsidR="00CD15EE">
        <w:rPr>
          <w:rFonts w:cstheme="minorHAnsi"/>
          <w:i w:val="0"/>
          <w:sz w:val="22"/>
        </w:rPr>
        <w:t>gender</w:t>
      </w:r>
      <w:r w:rsidRPr="002F3BB0">
        <w:rPr>
          <w:rFonts w:cstheme="minorHAnsi"/>
          <w:i w:val="0"/>
          <w:sz w:val="22"/>
        </w:rPr>
        <w:t xml:space="preserve"> communit</w:t>
      </w:r>
      <w:r w:rsidR="009A0E40">
        <w:rPr>
          <w:rFonts w:cstheme="minorHAnsi"/>
          <w:i w:val="0"/>
          <w:sz w:val="22"/>
        </w:rPr>
        <w:t>ies</w:t>
      </w:r>
      <w:r w:rsidRPr="002F3BB0">
        <w:rPr>
          <w:rFonts w:cstheme="minorHAnsi"/>
          <w:i w:val="0"/>
          <w:sz w:val="22"/>
        </w:rPr>
        <w:t xml:space="preserve"> </w:t>
      </w:r>
      <w:r w:rsidR="009A0E40">
        <w:rPr>
          <w:rFonts w:cstheme="minorHAnsi"/>
          <w:i w:val="0"/>
          <w:sz w:val="22"/>
        </w:rPr>
        <w:t>concerning</w:t>
      </w:r>
      <w:r w:rsidRPr="002F3BB0">
        <w:rPr>
          <w:rFonts w:cstheme="minorHAnsi"/>
          <w:i w:val="0"/>
          <w:sz w:val="22"/>
        </w:rPr>
        <w:t xml:space="preserve"> workplace issues. </w:t>
      </w:r>
      <w:r w:rsidR="007826EB">
        <w:rPr>
          <w:rFonts w:cstheme="minorHAnsi"/>
          <w:i w:val="0"/>
          <w:sz w:val="22"/>
        </w:rPr>
        <w:t>Consultation has commenced</w:t>
      </w:r>
      <w:r w:rsidRPr="002F3BB0">
        <w:rPr>
          <w:rFonts w:cstheme="minorHAnsi"/>
          <w:i w:val="0"/>
          <w:sz w:val="22"/>
        </w:rPr>
        <w:t xml:space="preserve"> with relevant employer stakeholders around issues of gender </w:t>
      </w:r>
      <w:r w:rsidR="009A0E40">
        <w:rPr>
          <w:rFonts w:cstheme="minorHAnsi"/>
          <w:i w:val="0"/>
          <w:sz w:val="22"/>
        </w:rPr>
        <w:t xml:space="preserve">diversity in the </w:t>
      </w:r>
      <w:r w:rsidRPr="002F3BB0">
        <w:rPr>
          <w:rFonts w:cstheme="minorHAnsi"/>
          <w:i w:val="0"/>
          <w:sz w:val="22"/>
        </w:rPr>
        <w:t>workplace</w:t>
      </w:r>
      <w:r w:rsidR="009A0E40">
        <w:rPr>
          <w:rFonts w:cstheme="minorHAnsi"/>
          <w:i w:val="0"/>
          <w:sz w:val="22"/>
        </w:rPr>
        <w:t>,</w:t>
      </w:r>
      <w:r w:rsidRPr="002F3BB0">
        <w:rPr>
          <w:rFonts w:cstheme="minorHAnsi"/>
          <w:i w:val="0"/>
          <w:sz w:val="22"/>
        </w:rPr>
        <w:t xml:space="preserve"> with a view to creating a Queensland-specific electronic resource to be accessed by employers and employees in the future. We are also currently assisting an employee transitioning at work</w:t>
      </w:r>
      <w:r w:rsidR="009A0E40">
        <w:rPr>
          <w:rFonts w:cstheme="minorHAnsi"/>
          <w:i w:val="0"/>
          <w:sz w:val="22"/>
        </w:rPr>
        <w:t>, by</w:t>
      </w:r>
      <w:r w:rsidRPr="002F3BB0">
        <w:rPr>
          <w:rFonts w:cstheme="minorHAnsi"/>
          <w:i w:val="0"/>
          <w:sz w:val="22"/>
        </w:rPr>
        <w:t xml:space="preserve"> providing advice and specialised training to managers and staf</w:t>
      </w:r>
      <w:r w:rsidR="00406669">
        <w:rPr>
          <w:rFonts w:cstheme="minorHAnsi"/>
          <w:i w:val="0"/>
          <w:sz w:val="22"/>
        </w:rPr>
        <w:t>f.</w:t>
      </w:r>
    </w:p>
    <w:p w:rsidR="00090DC7" w:rsidRPr="002F3BB0" w:rsidRDefault="00090DC7" w:rsidP="00BF30CC">
      <w:pPr>
        <w:pStyle w:val="Heading2"/>
        <w:rPr>
          <w:i/>
        </w:rPr>
      </w:pPr>
      <w:r w:rsidRPr="002F3BB0">
        <w:t>Small business project</w:t>
      </w:r>
    </w:p>
    <w:p w:rsidR="001C56C1" w:rsidRPr="002F3BB0" w:rsidRDefault="001C56C1" w:rsidP="00262775">
      <w:pPr>
        <w:spacing w:before="120" w:after="0" w:line="240" w:lineRule="auto"/>
        <w:rPr>
          <w:rFonts w:ascii="Arial" w:hAnsi="Arial" w:cs="Arial"/>
          <w:i w:val="0"/>
          <w:sz w:val="22"/>
          <w:szCs w:val="32"/>
        </w:rPr>
      </w:pPr>
      <w:r w:rsidRPr="002F3BB0">
        <w:rPr>
          <w:rFonts w:ascii="Arial" w:hAnsi="Arial" w:cs="Arial"/>
          <w:i w:val="0"/>
          <w:sz w:val="22"/>
          <w:szCs w:val="32"/>
        </w:rPr>
        <w:t>In 2013-14 the ADCQ continued its work with the small business sector</w:t>
      </w:r>
      <w:r w:rsidR="00FF369C">
        <w:rPr>
          <w:rFonts w:ascii="Arial" w:hAnsi="Arial" w:cs="Arial"/>
          <w:i w:val="0"/>
          <w:sz w:val="22"/>
          <w:szCs w:val="32"/>
        </w:rPr>
        <w:t xml:space="preserve">, </w:t>
      </w:r>
      <w:r w:rsidRPr="002F3BB0">
        <w:rPr>
          <w:rFonts w:ascii="Arial" w:hAnsi="Arial" w:cs="Arial"/>
          <w:i w:val="0"/>
          <w:sz w:val="22"/>
          <w:szCs w:val="32"/>
        </w:rPr>
        <w:t>support</w:t>
      </w:r>
      <w:r w:rsidR="00FF369C">
        <w:rPr>
          <w:rFonts w:ascii="Arial" w:hAnsi="Arial" w:cs="Arial"/>
          <w:i w:val="0"/>
          <w:sz w:val="22"/>
          <w:szCs w:val="32"/>
        </w:rPr>
        <w:t>ing</w:t>
      </w:r>
      <w:r w:rsidRPr="002F3BB0">
        <w:rPr>
          <w:rFonts w:ascii="Arial" w:hAnsi="Arial" w:cs="Arial"/>
          <w:i w:val="0"/>
          <w:sz w:val="22"/>
          <w:szCs w:val="32"/>
        </w:rPr>
        <w:t xml:space="preserve"> operators to understand and meet their obligations under the </w:t>
      </w:r>
      <w:r w:rsidRPr="002F3BB0">
        <w:rPr>
          <w:rFonts w:ascii="Arial" w:hAnsi="Arial" w:cs="Arial"/>
          <w:sz w:val="22"/>
          <w:szCs w:val="32"/>
        </w:rPr>
        <w:t>Anti-Discrimination Act 1991.</w:t>
      </w:r>
    </w:p>
    <w:p w:rsidR="001C56C1" w:rsidRPr="002F3BB0" w:rsidRDefault="001C56C1" w:rsidP="00262775">
      <w:pPr>
        <w:spacing w:before="240" w:after="0" w:line="240" w:lineRule="auto"/>
        <w:rPr>
          <w:rFonts w:ascii="Arial" w:hAnsi="Arial" w:cs="Arial"/>
          <w:i w:val="0"/>
          <w:sz w:val="22"/>
          <w:szCs w:val="32"/>
        </w:rPr>
      </w:pPr>
      <w:r w:rsidRPr="002F3BB0">
        <w:rPr>
          <w:rFonts w:ascii="Arial" w:hAnsi="Arial" w:cs="Arial"/>
          <w:i w:val="0"/>
          <w:sz w:val="22"/>
          <w:szCs w:val="32"/>
        </w:rPr>
        <w:t xml:space="preserve">This project was a key goal for ADCQ in the 2013-14 financial </w:t>
      </w:r>
      <w:proofErr w:type="gramStart"/>
      <w:r w:rsidRPr="002F3BB0">
        <w:rPr>
          <w:rFonts w:ascii="Arial" w:hAnsi="Arial" w:cs="Arial"/>
          <w:i w:val="0"/>
          <w:sz w:val="22"/>
          <w:szCs w:val="32"/>
        </w:rPr>
        <w:t>year</w:t>
      </w:r>
      <w:proofErr w:type="gramEnd"/>
      <w:r w:rsidRPr="002F3BB0">
        <w:rPr>
          <w:rFonts w:ascii="Arial" w:hAnsi="Arial" w:cs="Arial"/>
          <w:i w:val="0"/>
          <w:sz w:val="22"/>
          <w:szCs w:val="32"/>
        </w:rPr>
        <w:t xml:space="preserve"> and will continue into the future </w:t>
      </w:r>
      <w:r w:rsidR="00FF369C">
        <w:rPr>
          <w:rFonts w:ascii="Arial" w:hAnsi="Arial" w:cs="Arial"/>
          <w:i w:val="0"/>
          <w:sz w:val="22"/>
          <w:szCs w:val="32"/>
        </w:rPr>
        <w:t xml:space="preserve">- </w:t>
      </w:r>
      <w:r w:rsidRPr="002F3BB0">
        <w:rPr>
          <w:rFonts w:ascii="Arial" w:hAnsi="Arial" w:cs="Arial"/>
          <w:i w:val="0"/>
          <w:sz w:val="22"/>
          <w:szCs w:val="32"/>
        </w:rPr>
        <w:t xml:space="preserve">given the size and diversity of the Queensland small business sector.  Consultation with small business peak bodies </w:t>
      </w:r>
      <w:r w:rsidR="00FF369C">
        <w:rPr>
          <w:rFonts w:ascii="Arial" w:hAnsi="Arial" w:cs="Arial"/>
          <w:i w:val="0"/>
          <w:sz w:val="22"/>
          <w:szCs w:val="32"/>
        </w:rPr>
        <w:t>began</w:t>
      </w:r>
      <w:r w:rsidR="00FF369C" w:rsidRPr="002F3BB0">
        <w:rPr>
          <w:rFonts w:ascii="Arial" w:hAnsi="Arial" w:cs="Arial"/>
          <w:i w:val="0"/>
          <w:sz w:val="22"/>
          <w:szCs w:val="32"/>
        </w:rPr>
        <w:t xml:space="preserve"> </w:t>
      </w:r>
      <w:r w:rsidRPr="002F3BB0">
        <w:rPr>
          <w:rFonts w:ascii="Arial" w:hAnsi="Arial" w:cs="Arial"/>
          <w:i w:val="0"/>
          <w:sz w:val="22"/>
          <w:szCs w:val="32"/>
        </w:rPr>
        <w:t xml:space="preserve">in late 2013. Organisations </w:t>
      </w:r>
      <w:r w:rsidR="00FF369C">
        <w:rPr>
          <w:rFonts w:ascii="Arial" w:hAnsi="Arial" w:cs="Arial"/>
          <w:i w:val="0"/>
          <w:sz w:val="22"/>
          <w:szCs w:val="32"/>
        </w:rPr>
        <w:t xml:space="preserve">including the </w:t>
      </w:r>
      <w:r w:rsidRPr="002F3BB0">
        <w:rPr>
          <w:rFonts w:ascii="Arial" w:hAnsi="Arial" w:cs="Arial"/>
          <w:i w:val="0"/>
          <w:sz w:val="22"/>
          <w:szCs w:val="32"/>
        </w:rPr>
        <w:t>Chamber of Commerce and Industry Queensland and the Business Enterprise Centre in Ipswich have indicated a willi</w:t>
      </w:r>
      <w:r w:rsidR="00406669">
        <w:rPr>
          <w:rFonts w:ascii="Arial" w:hAnsi="Arial" w:cs="Arial"/>
          <w:i w:val="0"/>
          <w:sz w:val="22"/>
          <w:szCs w:val="32"/>
        </w:rPr>
        <w:t>ngness to support this project.</w:t>
      </w:r>
    </w:p>
    <w:p w:rsidR="001C56C1" w:rsidRPr="002F3BB0" w:rsidRDefault="001C56C1" w:rsidP="00262775">
      <w:pPr>
        <w:spacing w:before="240" w:after="0" w:line="240" w:lineRule="auto"/>
        <w:rPr>
          <w:rFonts w:ascii="Arial" w:hAnsi="Arial" w:cs="Arial"/>
          <w:i w:val="0"/>
          <w:sz w:val="22"/>
          <w:szCs w:val="32"/>
        </w:rPr>
      </w:pPr>
      <w:r w:rsidRPr="002F3BB0">
        <w:rPr>
          <w:rFonts w:ascii="Arial" w:hAnsi="Arial" w:cs="Arial"/>
          <w:i w:val="0"/>
          <w:sz w:val="22"/>
          <w:szCs w:val="32"/>
        </w:rPr>
        <w:t xml:space="preserve">Draft resources including a small business handbook and </w:t>
      </w:r>
      <w:r w:rsidR="0048622E">
        <w:rPr>
          <w:rFonts w:ascii="Arial" w:hAnsi="Arial" w:cs="Arial"/>
          <w:i w:val="0"/>
          <w:sz w:val="22"/>
          <w:szCs w:val="32"/>
        </w:rPr>
        <w:t>‘</w:t>
      </w:r>
      <w:r w:rsidRPr="002F3BB0">
        <w:rPr>
          <w:rFonts w:ascii="Arial" w:hAnsi="Arial" w:cs="Arial"/>
          <w:i w:val="0"/>
          <w:sz w:val="22"/>
          <w:szCs w:val="32"/>
        </w:rPr>
        <w:t>20 questions</w:t>
      </w:r>
      <w:r w:rsidR="0048622E">
        <w:rPr>
          <w:rFonts w:ascii="Arial" w:hAnsi="Arial" w:cs="Arial"/>
          <w:i w:val="0"/>
          <w:sz w:val="22"/>
          <w:szCs w:val="32"/>
        </w:rPr>
        <w:t>’</w:t>
      </w:r>
      <w:r w:rsidRPr="002F3BB0">
        <w:rPr>
          <w:rFonts w:ascii="Arial" w:hAnsi="Arial" w:cs="Arial"/>
          <w:i w:val="0"/>
          <w:sz w:val="22"/>
          <w:szCs w:val="32"/>
        </w:rPr>
        <w:t xml:space="preserve"> booklet have been developed for trial with small businesses. </w:t>
      </w:r>
      <w:r w:rsidR="00A20CD6" w:rsidRPr="002F3BB0">
        <w:rPr>
          <w:rFonts w:ascii="Arial" w:hAnsi="Arial" w:cs="Arial"/>
          <w:i w:val="0"/>
          <w:sz w:val="22"/>
          <w:szCs w:val="32"/>
        </w:rPr>
        <w:t xml:space="preserve">The </w:t>
      </w:r>
      <w:r w:rsidRPr="002F3BB0">
        <w:rPr>
          <w:rFonts w:ascii="Arial" w:hAnsi="Arial" w:cs="Arial"/>
          <w:i w:val="0"/>
          <w:sz w:val="22"/>
          <w:szCs w:val="32"/>
        </w:rPr>
        <w:t xml:space="preserve">recently developed ADCQ online training module </w:t>
      </w:r>
      <w:r w:rsidRPr="0074614F">
        <w:rPr>
          <w:rFonts w:ascii="Arial" w:hAnsi="Arial" w:cs="Arial"/>
          <w:i w:val="0"/>
          <w:sz w:val="22"/>
          <w:szCs w:val="32"/>
        </w:rPr>
        <w:t>Discrimination Awareness in Queensland</w:t>
      </w:r>
      <w:r w:rsidRPr="002F3BB0">
        <w:rPr>
          <w:rFonts w:ascii="Arial" w:hAnsi="Arial" w:cs="Arial"/>
          <w:i w:val="0"/>
          <w:sz w:val="22"/>
          <w:szCs w:val="32"/>
        </w:rPr>
        <w:t xml:space="preserve"> has also been identified as a useful training tool for small business operators </w:t>
      </w:r>
      <w:r w:rsidR="0048622E">
        <w:rPr>
          <w:rFonts w:ascii="Arial" w:hAnsi="Arial" w:cs="Arial"/>
          <w:i w:val="0"/>
          <w:sz w:val="22"/>
          <w:szCs w:val="32"/>
        </w:rPr>
        <w:t xml:space="preserve">because of the </w:t>
      </w:r>
      <w:r w:rsidRPr="002F3BB0">
        <w:rPr>
          <w:rFonts w:ascii="Arial" w:hAnsi="Arial" w:cs="Arial"/>
          <w:i w:val="0"/>
          <w:sz w:val="22"/>
          <w:szCs w:val="32"/>
        </w:rPr>
        <w:t>low cost and</w:t>
      </w:r>
      <w:r w:rsidR="0048622E">
        <w:rPr>
          <w:rFonts w:ascii="Arial" w:hAnsi="Arial" w:cs="Arial"/>
          <w:i w:val="0"/>
          <w:sz w:val="22"/>
          <w:szCs w:val="32"/>
        </w:rPr>
        <w:t xml:space="preserve"> availability</w:t>
      </w:r>
      <w:r w:rsidR="00406669">
        <w:rPr>
          <w:rFonts w:ascii="Arial" w:hAnsi="Arial" w:cs="Arial"/>
          <w:i w:val="0"/>
          <w:sz w:val="22"/>
          <w:szCs w:val="32"/>
        </w:rPr>
        <w:t>.</w:t>
      </w:r>
    </w:p>
    <w:p w:rsidR="001C56C1" w:rsidRPr="002F3BB0" w:rsidRDefault="001C56C1" w:rsidP="00262775">
      <w:pPr>
        <w:spacing w:before="240" w:after="0" w:line="240" w:lineRule="auto"/>
        <w:rPr>
          <w:rFonts w:cstheme="minorHAnsi"/>
          <w:i w:val="0"/>
          <w:sz w:val="22"/>
          <w:szCs w:val="22"/>
        </w:rPr>
      </w:pPr>
      <w:r w:rsidRPr="002F3BB0">
        <w:rPr>
          <w:rFonts w:ascii="Arial" w:hAnsi="Arial" w:cs="Arial"/>
          <w:i w:val="0"/>
          <w:sz w:val="22"/>
          <w:szCs w:val="32"/>
        </w:rPr>
        <w:t xml:space="preserve">ADCQ will commence direct consultation with small businesses and specific industry groups in 2014-15. As ADCQ will be managing this project within its existing resources, the development and roll-out of final products </w:t>
      </w:r>
      <w:r w:rsidR="0048622E">
        <w:rPr>
          <w:rFonts w:ascii="Arial" w:hAnsi="Arial" w:cs="Arial"/>
          <w:i w:val="0"/>
          <w:sz w:val="22"/>
          <w:szCs w:val="32"/>
        </w:rPr>
        <w:t xml:space="preserve">will </w:t>
      </w:r>
      <w:r w:rsidR="00406669">
        <w:rPr>
          <w:rFonts w:ascii="Arial" w:hAnsi="Arial" w:cs="Arial"/>
          <w:i w:val="0"/>
          <w:sz w:val="22"/>
          <w:szCs w:val="32"/>
        </w:rPr>
        <w:t>be a staged process.</w:t>
      </w:r>
    </w:p>
    <w:p w:rsidR="008D15E2" w:rsidRPr="002F3BB0" w:rsidRDefault="008D15E2" w:rsidP="00BF30CC">
      <w:pPr>
        <w:pStyle w:val="Heading2"/>
        <w:rPr>
          <w:i/>
        </w:rPr>
      </w:pPr>
      <w:r w:rsidRPr="002666BA">
        <w:t>Speaking engagements</w:t>
      </w:r>
    </w:p>
    <w:p w:rsidR="00E919EC" w:rsidRPr="002F3BB0" w:rsidRDefault="008D15E2" w:rsidP="00090DC7">
      <w:pPr>
        <w:spacing w:after="120" w:line="240" w:lineRule="auto"/>
        <w:rPr>
          <w:rFonts w:cstheme="minorHAnsi"/>
          <w:i w:val="0"/>
          <w:sz w:val="22"/>
          <w:szCs w:val="22"/>
        </w:rPr>
      </w:pPr>
      <w:proofErr w:type="gramStart"/>
      <w:r w:rsidRPr="002F3BB0">
        <w:rPr>
          <w:rFonts w:cstheme="minorHAnsi"/>
          <w:i w:val="0"/>
          <w:sz w:val="22"/>
          <w:szCs w:val="22"/>
        </w:rPr>
        <w:t>Staff of the Commission regularly accept</w:t>
      </w:r>
      <w:proofErr w:type="gramEnd"/>
      <w:r w:rsidRPr="002F3BB0">
        <w:rPr>
          <w:rFonts w:cstheme="minorHAnsi"/>
          <w:i w:val="0"/>
          <w:sz w:val="22"/>
          <w:szCs w:val="22"/>
        </w:rPr>
        <w:t xml:space="preserve"> invitations to speak to students, community groups, </w:t>
      </w:r>
      <w:r w:rsidR="00D60BFD">
        <w:rPr>
          <w:rFonts w:cstheme="minorHAnsi"/>
          <w:i w:val="0"/>
          <w:sz w:val="22"/>
          <w:szCs w:val="22"/>
        </w:rPr>
        <w:t>lawyers</w:t>
      </w:r>
      <w:r w:rsidRPr="00D60BFD">
        <w:rPr>
          <w:rFonts w:cstheme="minorHAnsi"/>
          <w:i w:val="0"/>
          <w:sz w:val="22"/>
          <w:szCs w:val="22"/>
        </w:rPr>
        <w:t>,</w:t>
      </w:r>
      <w:r w:rsidRPr="002F3BB0">
        <w:rPr>
          <w:rFonts w:cstheme="minorHAnsi"/>
          <w:i w:val="0"/>
          <w:sz w:val="22"/>
          <w:szCs w:val="22"/>
        </w:rPr>
        <w:t xml:space="preserve"> employee and employer groups </w:t>
      </w:r>
      <w:r w:rsidR="00E919EC" w:rsidRPr="002F3BB0">
        <w:rPr>
          <w:rFonts w:cstheme="minorHAnsi"/>
          <w:i w:val="0"/>
          <w:sz w:val="22"/>
          <w:szCs w:val="22"/>
        </w:rPr>
        <w:t xml:space="preserve">and </w:t>
      </w:r>
      <w:r w:rsidR="00D60BFD">
        <w:rPr>
          <w:rFonts w:cstheme="minorHAnsi"/>
          <w:i w:val="0"/>
          <w:sz w:val="22"/>
          <w:szCs w:val="22"/>
        </w:rPr>
        <w:t xml:space="preserve">at </w:t>
      </w:r>
      <w:r w:rsidRPr="002F3BB0">
        <w:rPr>
          <w:rFonts w:cstheme="minorHAnsi"/>
          <w:i w:val="0"/>
          <w:sz w:val="22"/>
          <w:szCs w:val="22"/>
        </w:rPr>
        <w:t xml:space="preserve">community events. Speaking topics range from very specific issues </w:t>
      </w:r>
      <w:r w:rsidR="00D60BFD">
        <w:rPr>
          <w:rFonts w:cstheme="minorHAnsi"/>
          <w:i w:val="0"/>
          <w:sz w:val="22"/>
          <w:szCs w:val="22"/>
        </w:rPr>
        <w:t xml:space="preserve">in </w:t>
      </w:r>
      <w:r w:rsidRPr="002F3BB0">
        <w:rPr>
          <w:rFonts w:cstheme="minorHAnsi"/>
          <w:i w:val="0"/>
          <w:sz w:val="22"/>
          <w:szCs w:val="22"/>
        </w:rPr>
        <w:t>anti-discrimination law, to a broad overview of human rights and anti-discrimination instruments. Key speaking engagements in 2013-14 included</w:t>
      </w:r>
      <w:r w:rsidR="00E919EC" w:rsidRPr="002F3BB0">
        <w:rPr>
          <w:rFonts w:cstheme="minorHAnsi"/>
          <w:i w:val="0"/>
          <w:sz w:val="22"/>
          <w:szCs w:val="22"/>
        </w:rPr>
        <w:t xml:space="preserve"> presentations to</w:t>
      </w:r>
      <w:r w:rsidRPr="002F3BB0">
        <w:rPr>
          <w:rFonts w:cstheme="minorHAnsi"/>
          <w:i w:val="0"/>
          <w:sz w:val="22"/>
          <w:szCs w:val="22"/>
        </w:rPr>
        <w:t>:</w:t>
      </w:r>
    </w:p>
    <w:p w:rsidR="00E919EC" w:rsidRPr="001B6438" w:rsidRDefault="00E919EC"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Graduate Women Queensland on The vexed question of equity in career progression for women and minority groups</w:t>
      </w:r>
      <w:r w:rsidR="00135021" w:rsidRPr="001B6438">
        <w:rPr>
          <w:rFonts w:eastAsia="Times New Roman" w:cstheme="minorHAnsi"/>
          <w:i w:val="0"/>
          <w:sz w:val="22"/>
          <w:szCs w:val="22"/>
          <w:lang w:eastAsia="en-AU"/>
        </w:rPr>
        <w:t>;</w:t>
      </w:r>
    </w:p>
    <w:p w:rsidR="00E919EC" w:rsidRPr="001B6438" w:rsidRDefault="00E919EC"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Members and Associates of the Industrial Court of Queensland and the Queensland Industrial Relations Commission on sexual harassment</w:t>
      </w:r>
      <w:r w:rsidR="00135021" w:rsidRPr="001B6438">
        <w:rPr>
          <w:rFonts w:eastAsia="Times New Roman" w:cstheme="minorHAnsi"/>
          <w:i w:val="0"/>
          <w:sz w:val="22"/>
          <w:szCs w:val="22"/>
          <w:lang w:eastAsia="en-AU"/>
        </w:rPr>
        <w:t>;</w:t>
      </w:r>
    </w:p>
    <w:p w:rsidR="00E919EC" w:rsidRPr="001B6438" w:rsidRDefault="00E919EC"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 xml:space="preserve">Griffith University students on Disability and </w:t>
      </w:r>
      <w:r w:rsidR="00135021" w:rsidRPr="001B6438">
        <w:rPr>
          <w:rFonts w:eastAsia="Times New Roman" w:cstheme="minorHAnsi"/>
          <w:i w:val="0"/>
          <w:sz w:val="22"/>
          <w:szCs w:val="22"/>
          <w:lang w:eastAsia="en-AU"/>
        </w:rPr>
        <w:t>d</w:t>
      </w:r>
      <w:r w:rsidRPr="001B6438">
        <w:rPr>
          <w:rFonts w:eastAsia="Times New Roman" w:cstheme="minorHAnsi"/>
          <w:i w:val="0"/>
          <w:sz w:val="22"/>
          <w:szCs w:val="22"/>
          <w:lang w:eastAsia="en-AU"/>
        </w:rPr>
        <w:t>ifference</w:t>
      </w:r>
      <w:r w:rsidR="00135021" w:rsidRPr="001B6438">
        <w:rPr>
          <w:rFonts w:eastAsia="Times New Roman" w:cstheme="minorHAnsi"/>
          <w:i w:val="0"/>
          <w:sz w:val="22"/>
          <w:szCs w:val="22"/>
          <w:lang w:eastAsia="en-AU"/>
        </w:rPr>
        <w:t>:</w:t>
      </w:r>
      <w:r w:rsidRPr="001B6438">
        <w:rPr>
          <w:rFonts w:eastAsia="Times New Roman" w:cstheme="minorHAnsi"/>
          <w:i w:val="0"/>
          <w:sz w:val="22"/>
          <w:szCs w:val="22"/>
          <w:lang w:eastAsia="en-AU"/>
        </w:rPr>
        <w:t xml:space="preserve"> </w:t>
      </w:r>
      <w:r w:rsidR="00135021" w:rsidRPr="001B6438">
        <w:rPr>
          <w:rFonts w:eastAsia="Times New Roman" w:cstheme="minorHAnsi"/>
          <w:i w:val="0"/>
          <w:sz w:val="22"/>
          <w:szCs w:val="22"/>
          <w:lang w:eastAsia="en-AU"/>
        </w:rPr>
        <w:t>k</w:t>
      </w:r>
      <w:r w:rsidRPr="001B6438">
        <w:rPr>
          <w:rFonts w:eastAsia="Times New Roman" w:cstheme="minorHAnsi"/>
          <w:i w:val="0"/>
          <w:sz w:val="22"/>
          <w:szCs w:val="22"/>
          <w:lang w:eastAsia="en-AU"/>
        </w:rPr>
        <w:t>nowing your rights, telling our stories</w:t>
      </w:r>
      <w:r w:rsidR="00135021" w:rsidRPr="001B6438">
        <w:rPr>
          <w:rFonts w:eastAsia="Times New Roman" w:cstheme="minorHAnsi"/>
          <w:i w:val="0"/>
          <w:sz w:val="22"/>
          <w:szCs w:val="22"/>
          <w:lang w:eastAsia="en-AU"/>
        </w:rPr>
        <w:t>;</w:t>
      </w:r>
    </w:p>
    <w:p w:rsidR="00E919EC" w:rsidRPr="001B6438" w:rsidRDefault="00E919EC"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University of Queensland Equity Office – Disabling structures, enabling people</w:t>
      </w:r>
      <w:r w:rsidR="00135021" w:rsidRPr="001B6438">
        <w:rPr>
          <w:rFonts w:eastAsia="Times New Roman" w:cstheme="minorHAnsi"/>
          <w:i w:val="0"/>
          <w:sz w:val="22"/>
          <w:szCs w:val="22"/>
          <w:lang w:eastAsia="en-AU"/>
        </w:rPr>
        <w:t>;</w:t>
      </w:r>
    </w:p>
    <w:p w:rsidR="00E919EC" w:rsidRPr="001B6438" w:rsidRDefault="00671AA2"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 xml:space="preserve">Australian Council of Trade Unions – Women’s Committee </w:t>
      </w:r>
      <w:r w:rsidR="00135021" w:rsidRPr="001B6438">
        <w:rPr>
          <w:rFonts w:eastAsia="Times New Roman" w:cstheme="minorHAnsi"/>
          <w:i w:val="0"/>
          <w:sz w:val="22"/>
          <w:szCs w:val="22"/>
          <w:lang w:eastAsia="en-AU"/>
        </w:rPr>
        <w:t>m</w:t>
      </w:r>
      <w:r w:rsidRPr="001B6438">
        <w:rPr>
          <w:rFonts w:eastAsia="Times New Roman" w:cstheme="minorHAnsi"/>
          <w:i w:val="0"/>
          <w:sz w:val="22"/>
          <w:szCs w:val="22"/>
          <w:lang w:eastAsia="en-AU"/>
        </w:rPr>
        <w:t>eeting</w:t>
      </w:r>
      <w:r w:rsidR="00135021" w:rsidRPr="001B6438">
        <w:rPr>
          <w:rFonts w:eastAsia="Times New Roman" w:cstheme="minorHAnsi"/>
          <w:i w:val="0"/>
          <w:sz w:val="22"/>
          <w:szCs w:val="22"/>
          <w:lang w:eastAsia="en-AU"/>
        </w:rPr>
        <w:t>;</w:t>
      </w:r>
    </w:p>
    <w:p w:rsidR="00671AA2" w:rsidRPr="001B6438" w:rsidRDefault="00671AA2"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 xml:space="preserve">Queensland Council of Unions </w:t>
      </w:r>
      <w:r w:rsidR="00135021" w:rsidRPr="001B6438">
        <w:rPr>
          <w:rFonts w:eastAsia="Times New Roman" w:cstheme="minorHAnsi"/>
          <w:i w:val="0"/>
          <w:sz w:val="22"/>
          <w:szCs w:val="22"/>
          <w:lang w:eastAsia="en-AU"/>
        </w:rPr>
        <w:t xml:space="preserve">(Queensland Conference) </w:t>
      </w:r>
      <w:r w:rsidRPr="001B6438">
        <w:rPr>
          <w:rFonts w:eastAsia="Times New Roman" w:cstheme="minorHAnsi"/>
          <w:i w:val="0"/>
          <w:sz w:val="22"/>
          <w:szCs w:val="22"/>
          <w:lang w:eastAsia="en-AU"/>
        </w:rPr>
        <w:t xml:space="preserve">– Women in </w:t>
      </w:r>
      <w:r w:rsidR="00135021" w:rsidRPr="001B6438">
        <w:rPr>
          <w:rFonts w:eastAsia="Times New Roman" w:cstheme="minorHAnsi"/>
          <w:i w:val="0"/>
          <w:sz w:val="22"/>
          <w:szCs w:val="22"/>
          <w:lang w:eastAsia="en-AU"/>
        </w:rPr>
        <w:t>m</w:t>
      </w:r>
      <w:r w:rsidRPr="001B6438">
        <w:rPr>
          <w:rFonts w:eastAsia="Times New Roman" w:cstheme="minorHAnsi"/>
          <w:i w:val="0"/>
          <w:sz w:val="22"/>
          <w:szCs w:val="22"/>
          <w:lang w:eastAsia="en-AU"/>
        </w:rPr>
        <w:t xml:space="preserve">ale </w:t>
      </w:r>
      <w:r w:rsidR="00135021" w:rsidRPr="001B6438">
        <w:rPr>
          <w:rFonts w:eastAsia="Times New Roman" w:cstheme="minorHAnsi"/>
          <w:i w:val="0"/>
          <w:sz w:val="22"/>
          <w:szCs w:val="22"/>
          <w:lang w:eastAsia="en-AU"/>
        </w:rPr>
        <w:t>d</w:t>
      </w:r>
      <w:r w:rsidRPr="001B6438">
        <w:rPr>
          <w:rFonts w:eastAsia="Times New Roman" w:cstheme="minorHAnsi"/>
          <w:i w:val="0"/>
          <w:sz w:val="22"/>
          <w:szCs w:val="22"/>
          <w:lang w:eastAsia="en-AU"/>
        </w:rPr>
        <w:t xml:space="preserve">ominated </w:t>
      </w:r>
      <w:r w:rsidR="00135021" w:rsidRPr="001B6438">
        <w:rPr>
          <w:rFonts w:eastAsia="Times New Roman" w:cstheme="minorHAnsi"/>
          <w:i w:val="0"/>
          <w:sz w:val="22"/>
          <w:szCs w:val="22"/>
          <w:lang w:eastAsia="en-AU"/>
        </w:rPr>
        <w:t>o</w:t>
      </w:r>
      <w:r w:rsidRPr="001B6438">
        <w:rPr>
          <w:rFonts w:eastAsia="Times New Roman" w:cstheme="minorHAnsi"/>
          <w:i w:val="0"/>
          <w:sz w:val="22"/>
          <w:szCs w:val="22"/>
          <w:lang w:eastAsia="en-AU"/>
        </w:rPr>
        <w:t xml:space="preserve">ccupations and </w:t>
      </w:r>
      <w:r w:rsidR="00135021" w:rsidRPr="001B6438">
        <w:rPr>
          <w:rFonts w:eastAsia="Times New Roman" w:cstheme="minorHAnsi"/>
          <w:i w:val="0"/>
          <w:sz w:val="22"/>
          <w:szCs w:val="22"/>
          <w:lang w:eastAsia="en-AU"/>
        </w:rPr>
        <w:t>i</w:t>
      </w:r>
      <w:r w:rsidRPr="001B6438">
        <w:rPr>
          <w:rFonts w:eastAsia="Times New Roman" w:cstheme="minorHAnsi"/>
          <w:i w:val="0"/>
          <w:sz w:val="22"/>
          <w:szCs w:val="22"/>
          <w:lang w:eastAsia="en-AU"/>
        </w:rPr>
        <w:t>ndustries</w:t>
      </w:r>
      <w:r w:rsidR="00135021" w:rsidRPr="001B6438">
        <w:rPr>
          <w:rFonts w:eastAsia="Times New Roman" w:cstheme="minorHAnsi"/>
          <w:i w:val="0"/>
          <w:sz w:val="22"/>
          <w:szCs w:val="22"/>
          <w:lang w:eastAsia="en-AU"/>
        </w:rPr>
        <w:t>;</w:t>
      </w:r>
      <w:r w:rsidRPr="001B6438">
        <w:rPr>
          <w:rFonts w:eastAsia="Times New Roman" w:cstheme="minorHAnsi"/>
          <w:i w:val="0"/>
          <w:sz w:val="22"/>
          <w:szCs w:val="22"/>
          <w:lang w:eastAsia="en-AU"/>
        </w:rPr>
        <w:t xml:space="preserve"> </w:t>
      </w:r>
    </w:p>
    <w:p w:rsidR="00671AA2" w:rsidRPr="001B6438" w:rsidRDefault="00671AA2"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lastRenderedPageBreak/>
        <w:t xml:space="preserve">Inner Mongolia Autonomous Region Women’s Federation – Chinese </w:t>
      </w:r>
      <w:r w:rsidR="00135021" w:rsidRPr="001B6438">
        <w:rPr>
          <w:rFonts w:eastAsia="Times New Roman" w:cstheme="minorHAnsi"/>
          <w:i w:val="0"/>
          <w:sz w:val="22"/>
          <w:szCs w:val="22"/>
          <w:lang w:eastAsia="en-AU"/>
        </w:rPr>
        <w:t>d</w:t>
      </w:r>
      <w:r w:rsidRPr="001B6438">
        <w:rPr>
          <w:rFonts w:eastAsia="Times New Roman" w:cstheme="minorHAnsi"/>
          <w:i w:val="0"/>
          <w:sz w:val="22"/>
          <w:szCs w:val="22"/>
          <w:lang w:eastAsia="en-AU"/>
        </w:rPr>
        <w:t>elegation</w:t>
      </w:r>
      <w:r w:rsidR="00135021" w:rsidRPr="001B6438">
        <w:rPr>
          <w:rFonts w:eastAsia="Times New Roman" w:cstheme="minorHAnsi"/>
          <w:i w:val="0"/>
          <w:sz w:val="22"/>
          <w:szCs w:val="22"/>
          <w:lang w:eastAsia="en-AU"/>
        </w:rPr>
        <w:t>;</w:t>
      </w:r>
    </w:p>
    <w:p w:rsidR="00671AA2" w:rsidRPr="001B6438" w:rsidRDefault="00671AA2"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 xml:space="preserve">Women’s Rights Commission </w:t>
      </w:r>
      <w:r w:rsidR="0074614F" w:rsidRPr="001B6438">
        <w:rPr>
          <w:rFonts w:eastAsia="Times New Roman" w:cstheme="minorHAnsi"/>
          <w:i w:val="0"/>
          <w:sz w:val="22"/>
          <w:szCs w:val="22"/>
          <w:lang w:eastAsia="en-AU"/>
        </w:rPr>
        <w:t xml:space="preserve"> - Chinese d</w:t>
      </w:r>
      <w:r w:rsidRPr="001B6438">
        <w:rPr>
          <w:rFonts w:eastAsia="Times New Roman" w:cstheme="minorHAnsi"/>
          <w:i w:val="0"/>
          <w:sz w:val="22"/>
          <w:szCs w:val="22"/>
          <w:lang w:eastAsia="en-AU"/>
        </w:rPr>
        <w:t>elegation</w:t>
      </w:r>
      <w:r w:rsidR="00135021" w:rsidRPr="001B6438">
        <w:rPr>
          <w:rFonts w:eastAsia="Times New Roman" w:cstheme="minorHAnsi"/>
          <w:i w:val="0"/>
          <w:sz w:val="22"/>
          <w:szCs w:val="22"/>
          <w:lang w:eastAsia="en-AU"/>
        </w:rPr>
        <w:t>;</w:t>
      </w:r>
    </w:p>
    <w:p w:rsidR="00671AA2" w:rsidRPr="001B6438" w:rsidRDefault="00671AA2"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Legal Aid Queensland</w:t>
      </w:r>
      <w:r w:rsidR="00135021" w:rsidRPr="001B6438">
        <w:rPr>
          <w:rFonts w:eastAsia="Times New Roman" w:cstheme="minorHAnsi"/>
          <w:i w:val="0"/>
          <w:sz w:val="22"/>
          <w:szCs w:val="22"/>
          <w:lang w:eastAsia="en-AU"/>
        </w:rPr>
        <w:t>,</w:t>
      </w:r>
      <w:r w:rsidRPr="001B6438">
        <w:rPr>
          <w:rFonts w:eastAsia="Times New Roman" w:cstheme="minorHAnsi"/>
          <w:i w:val="0"/>
          <w:sz w:val="22"/>
          <w:szCs w:val="22"/>
          <w:lang w:eastAsia="en-AU"/>
        </w:rPr>
        <w:t xml:space="preserve"> Brisbane Conference on the topic of reprisals and indirect discrimination for civil lawyers</w:t>
      </w:r>
      <w:r w:rsidR="00135021" w:rsidRPr="001B6438">
        <w:rPr>
          <w:rFonts w:eastAsia="Times New Roman" w:cstheme="minorHAnsi"/>
          <w:i w:val="0"/>
          <w:sz w:val="22"/>
          <w:szCs w:val="22"/>
          <w:lang w:eastAsia="en-AU"/>
        </w:rPr>
        <w:t>;</w:t>
      </w:r>
    </w:p>
    <w:p w:rsidR="00671AA2" w:rsidRPr="001B6438" w:rsidRDefault="00671AA2"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 xml:space="preserve">Queensland University of Technology – Bhutanese National Legal Institute </w:t>
      </w:r>
      <w:r w:rsidR="00135021" w:rsidRPr="001B6438">
        <w:rPr>
          <w:rFonts w:eastAsia="Times New Roman" w:cstheme="minorHAnsi"/>
          <w:i w:val="0"/>
          <w:sz w:val="22"/>
          <w:szCs w:val="22"/>
          <w:lang w:eastAsia="en-AU"/>
        </w:rPr>
        <w:t>d</w:t>
      </w:r>
      <w:r w:rsidRPr="001B6438">
        <w:rPr>
          <w:rFonts w:eastAsia="Times New Roman" w:cstheme="minorHAnsi"/>
          <w:i w:val="0"/>
          <w:sz w:val="22"/>
          <w:szCs w:val="22"/>
          <w:lang w:eastAsia="en-AU"/>
        </w:rPr>
        <w:t>elegation</w:t>
      </w:r>
      <w:r w:rsidR="00135021" w:rsidRPr="001B6438">
        <w:rPr>
          <w:rFonts w:eastAsia="Times New Roman" w:cstheme="minorHAnsi"/>
          <w:i w:val="0"/>
          <w:sz w:val="22"/>
          <w:szCs w:val="22"/>
          <w:lang w:eastAsia="en-AU"/>
        </w:rPr>
        <w:t>;</w:t>
      </w:r>
    </w:p>
    <w:p w:rsidR="00671AA2" w:rsidRPr="001B6438" w:rsidRDefault="00671AA2"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State Library of Queensland – International Day of Human Rights for Persons with Disability</w:t>
      </w:r>
      <w:r w:rsidR="00135021" w:rsidRPr="001B6438">
        <w:rPr>
          <w:rFonts w:eastAsia="Times New Roman" w:cstheme="minorHAnsi"/>
          <w:i w:val="0"/>
          <w:sz w:val="22"/>
          <w:szCs w:val="22"/>
          <w:lang w:eastAsia="en-AU"/>
        </w:rPr>
        <w:t>;</w:t>
      </w:r>
    </w:p>
    <w:p w:rsidR="00671AA2" w:rsidRPr="001B6438" w:rsidRDefault="00671AA2"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 xml:space="preserve">Deafness Forum Australia – Your </w:t>
      </w:r>
      <w:r w:rsidR="00135021" w:rsidRPr="001B6438">
        <w:rPr>
          <w:rFonts w:eastAsia="Times New Roman" w:cstheme="minorHAnsi"/>
          <w:i w:val="0"/>
          <w:sz w:val="22"/>
          <w:szCs w:val="22"/>
          <w:lang w:eastAsia="en-AU"/>
        </w:rPr>
        <w:t>r</w:t>
      </w:r>
      <w:r w:rsidRPr="001B6438">
        <w:rPr>
          <w:rFonts w:eastAsia="Times New Roman" w:cstheme="minorHAnsi"/>
          <w:i w:val="0"/>
          <w:sz w:val="22"/>
          <w:szCs w:val="22"/>
          <w:lang w:eastAsia="en-AU"/>
        </w:rPr>
        <w:t xml:space="preserve">ights at </w:t>
      </w:r>
      <w:r w:rsidR="00135021" w:rsidRPr="001B6438">
        <w:rPr>
          <w:rFonts w:eastAsia="Times New Roman" w:cstheme="minorHAnsi"/>
          <w:i w:val="0"/>
          <w:sz w:val="22"/>
          <w:szCs w:val="22"/>
          <w:lang w:eastAsia="en-AU"/>
        </w:rPr>
        <w:t>w</w:t>
      </w:r>
      <w:r w:rsidRPr="001B6438">
        <w:rPr>
          <w:rFonts w:eastAsia="Times New Roman" w:cstheme="minorHAnsi"/>
          <w:i w:val="0"/>
          <w:sz w:val="22"/>
          <w:szCs w:val="22"/>
          <w:lang w:eastAsia="en-AU"/>
        </w:rPr>
        <w:t>ork</w:t>
      </w:r>
      <w:r w:rsidR="00135021" w:rsidRPr="001B6438">
        <w:rPr>
          <w:rFonts w:eastAsia="Times New Roman" w:cstheme="minorHAnsi"/>
          <w:i w:val="0"/>
          <w:sz w:val="22"/>
          <w:szCs w:val="22"/>
          <w:lang w:eastAsia="en-AU"/>
        </w:rPr>
        <w:t>;</w:t>
      </w:r>
    </w:p>
    <w:p w:rsidR="00671AA2" w:rsidRPr="001B6438" w:rsidRDefault="00671AA2"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Queensland Disability Network – Celebrating the achievements of persons with disability</w:t>
      </w:r>
      <w:r w:rsidR="00135021" w:rsidRPr="001B6438">
        <w:rPr>
          <w:rFonts w:eastAsia="Times New Roman" w:cstheme="minorHAnsi"/>
          <w:i w:val="0"/>
          <w:sz w:val="22"/>
          <w:szCs w:val="22"/>
          <w:lang w:eastAsia="en-AU"/>
        </w:rPr>
        <w:t>;</w:t>
      </w:r>
    </w:p>
    <w:p w:rsidR="00671AA2" w:rsidRPr="001B6438" w:rsidRDefault="00671AA2"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Queensland University of Technology – Indonesia Women’s Human Rights Defenders program</w:t>
      </w:r>
      <w:r w:rsidR="00135021" w:rsidRPr="001B6438">
        <w:rPr>
          <w:rFonts w:eastAsia="Times New Roman" w:cstheme="minorHAnsi"/>
          <w:i w:val="0"/>
          <w:sz w:val="22"/>
          <w:szCs w:val="22"/>
          <w:lang w:eastAsia="en-AU"/>
        </w:rPr>
        <w:t>;</w:t>
      </w:r>
    </w:p>
    <w:p w:rsidR="00671AA2" w:rsidRPr="001B6438" w:rsidRDefault="00671AA2"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 xml:space="preserve">Sunshine Coast Autism Spectrum Disorder Support Group – Forum on </w:t>
      </w:r>
      <w:r w:rsidR="00135021" w:rsidRPr="001B6438">
        <w:rPr>
          <w:rFonts w:eastAsia="Times New Roman" w:cstheme="minorHAnsi"/>
          <w:i w:val="0"/>
          <w:sz w:val="22"/>
          <w:szCs w:val="22"/>
          <w:lang w:eastAsia="en-AU"/>
        </w:rPr>
        <w:t>r</w:t>
      </w:r>
      <w:r w:rsidRPr="001B6438">
        <w:rPr>
          <w:rFonts w:eastAsia="Times New Roman" w:cstheme="minorHAnsi"/>
          <w:i w:val="0"/>
          <w:sz w:val="22"/>
          <w:szCs w:val="22"/>
          <w:lang w:eastAsia="en-AU"/>
        </w:rPr>
        <w:t xml:space="preserve">ights of </w:t>
      </w:r>
      <w:r w:rsidR="00135021" w:rsidRPr="001B6438">
        <w:rPr>
          <w:rFonts w:eastAsia="Times New Roman" w:cstheme="minorHAnsi"/>
          <w:i w:val="0"/>
          <w:sz w:val="22"/>
          <w:szCs w:val="22"/>
          <w:lang w:eastAsia="en-AU"/>
        </w:rPr>
        <w:t>c</w:t>
      </w:r>
      <w:r w:rsidRPr="001B6438">
        <w:rPr>
          <w:rFonts w:eastAsia="Times New Roman" w:cstheme="minorHAnsi"/>
          <w:i w:val="0"/>
          <w:sz w:val="22"/>
          <w:szCs w:val="22"/>
          <w:lang w:eastAsia="en-AU"/>
        </w:rPr>
        <w:t xml:space="preserve">hildren with </w:t>
      </w:r>
      <w:r w:rsidR="00135021" w:rsidRPr="001B6438">
        <w:rPr>
          <w:rFonts w:eastAsia="Times New Roman" w:cstheme="minorHAnsi"/>
          <w:i w:val="0"/>
          <w:sz w:val="22"/>
          <w:szCs w:val="22"/>
          <w:lang w:eastAsia="en-AU"/>
        </w:rPr>
        <w:t>d</w:t>
      </w:r>
      <w:r w:rsidRPr="001B6438">
        <w:rPr>
          <w:rFonts w:eastAsia="Times New Roman" w:cstheme="minorHAnsi"/>
          <w:i w:val="0"/>
          <w:sz w:val="22"/>
          <w:szCs w:val="22"/>
          <w:lang w:eastAsia="en-AU"/>
        </w:rPr>
        <w:t xml:space="preserve">isabilities in </w:t>
      </w:r>
      <w:r w:rsidR="00135021" w:rsidRPr="001B6438">
        <w:rPr>
          <w:rFonts w:eastAsia="Times New Roman" w:cstheme="minorHAnsi"/>
          <w:i w:val="0"/>
          <w:sz w:val="22"/>
          <w:szCs w:val="22"/>
          <w:lang w:eastAsia="en-AU"/>
        </w:rPr>
        <w:t>e</w:t>
      </w:r>
      <w:r w:rsidRPr="001B6438">
        <w:rPr>
          <w:rFonts w:eastAsia="Times New Roman" w:cstheme="minorHAnsi"/>
          <w:i w:val="0"/>
          <w:sz w:val="22"/>
          <w:szCs w:val="22"/>
          <w:lang w:eastAsia="en-AU"/>
        </w:rPr>
        <w:t>ducation</w:t>
      </w:r>
      <w:r w:rsidR="00135021" w:rsidRPr="001B6438">
        <w:rPr>
          <w:rFonts w:eastAsia="Times New Roman" w:cstheme="minorHAnsi"/>
          <w:i w:val="0"/>
          <w:sz w:val="22"/>
          <w:szCs w:val="22"/>
          <w:lang w:eastAsia="en-AU"/>
        </w:rPr>
        <w:t>;</w:t>
      </w:r>
    </w:p>
    <w:p w:rsidR="00671AA2" w:rsidRPr="001B6438" w:rsidRDefault="00671AA2"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Rockhampton Indigenous Youth Sports Programme</w:t>
      </w:r>
      <w:r w:rsidR="00135021" w:rsidRPr="001B6438">
        <w:rPr>
          <w:rFonts w:eastAsia="Times New Roman" w:cstheme="minorHAnsi"/>
          <w:i w:val="0"/>
          <w:sz w:val="22"/>
          <w:szCs w:val="22"/>
          <w:lang w:eastAsia="en-AU"/>
        </w:rPr>
        <w:t>;</w:t>
      </w:r>
    </w:p>
    <w:p w:rsidR="00480295" w:rsidRPr="001B6438" w:rsidRDefault="00F31031" w:rsidP="001B6438">
      <w:pPr>
        <w:numPr>
          <w:ilvl w:val="0"/>
          <w:numId w:val="13"/>
        </w:numPr>
        <w:spacing w:before="120" w:after="0" w:line="240" w:lineRule="auto"/>
        <w:ind w:left="357" w:hanging="357"/>
        <w:rPr>
          <w:rFonts w:eastAsia="Times New Roman" w:cstheme="minorHAnsi"/>
          <w:i w:val="0"/>
          <w:sz w:val="22"/>
          <w:szCs w:val="22"/>
          <w:lang w:eastAsia="en-AU"/>
        </w:rPr>
      </w:pPr>
      <w:r w:rsidRPr="001B6438">
        <w:rPr>
          <w:rFonts w:eastAsia="Times New Roman" w:cstheme="minorHAnsi"/>
          <w:i w:val="0"/>
          <w:sz w:val="22"/>
          <w:szCs w:val="22"/>
          <w:lang w:eastAsia="en-AU"/>
        </w:rPr>
        <w:t>Mercy Family Services</w:t>
      </w:r>
      <w:r w:rsidR="00135021" w:rsidRPr="001B6438">
        <w:rPr>
          <w:rFonts w:eastAsia="Times New Roman" w:cstheme="minorHAnsi"/>
          <w:i w:val="0"/>
          <w:sz w:val="22"/>
          <w:szCs w:val="22"/>
          <w:lang w:eastAsia="en-AU"/>
        </w:rPr>
        <w:t>, r</w:t>
      </w:r>
      <w:r w:rsidRPr="001B6438">
        <w:rPr>
          <w:rFonts w:eastAsia="Times New Roman" w:cstheme="minorHAnsi"/>
          <w:i w:val="0"/>
          <w:sz w:val="22"/>
          <w:szCs w:val="22"/>
          <w:lang w:eastAsia="en-AU"/>
        </w:rPr>
        <w:t xml:space="preserve">efugee </w:t>
      </w:r>
      <w:r w:rsidR="00135021" w:rsidRPr="001B6438">
        <w:rPr>
          <w:rFonts w:eastAsia="Times New Roman" w:cstheme="minorHAnsi"/>
          <w:i w:val="0"/>
          <w:sz w:val="22"/>
          <w:szCs w:val="22"/>
          <w:lang w:eastAsia="en-AU"/>
        </w:rPr>
        <w:t>c</w:t>
      </w:r>
      <w:r w:rsidRPr="001B6438">
        <w:rPr>
          <w:rFonts w:eastAsia="Times New Roman" w:cstheme="minorHAnsi"/>
          <w:i w:val="0"/>
          <w:sz w:val="22"/>
          <w:szCs w:val="22"/>
          <w:lang w:eastAsia="en-AU"/>
        </w:rPr>
        <w:t>onference</w:t>
      </w:r>
      <w:r w:rsidR="00135021" w:rsidRPr="001B6438">
        <w:rPr>
          <w:rFonts w:eastAsia="Times New Roman" w:cstheme="minorHAnsi"/>
          <w:i w:val="0"/>
          <w:sz w:val="22"/>
          <w:szCs w:val="22"/>
          <w:lang w:eastAsia="en-AU"/>
        </w:rPr>
        <w:t xml:space="preserve"> –</w:t>
      </w:r>
      <w:r w:rsidRPr="001B6438">
        <w:rPr>
          <w:rFonts w:eastAsia="Times New Roman" w:cstheme="minorHAnsi"/>
          <w:i w:val="0"/>
          <w:sz w:val="22"/>
          <w:szCs w:val="22"/>
          <w:lang w:eastAsia="en-AU"/>
        </w:rPr>
        <w:t xml:space="preserve"> What’s </w:t>
      </w:r>
      <w:r w:rsidR="00135021" w:rsidRPr="001B6438">
        <w:rPr>
          <w:rFonts w:eastAsia="Times New Roman" w:cstheme="minorHAnsi"/>
          <w:i w:val="0"/>
          <w:sz w:val="22"/>
          <w:szCs w:val="22"/>
          <w:lang w:eastAsia="en-AU"/>
        </w:rPr>
        <w:t>y</w:t>
      </w:r>
      <w:r w:rsidRPr="001B6438">
        <w:rPr>
          <w:rFonts w:eastAsia="Times New Roman" w:cstheme="minorHAnsi"/>
          <w:i w:val="0"/>
          <w:sz w:val="22"/>
          <w:szCs w:val="22"/>
          <w:lang w:eastAsia="en-AU"/>
        </w:rPr>
        <w:t xml:space="preserve">our </w:t>
      </w:r>
      <w:r w:rsidR="00135021" w:rsidRPr="001B6438">
        <w:rPr>
          <w:rFonts w:eastAsia="Times New Roman" w:cstheme="minorHAnsi"/>
          <w:i w:val="0"/>
          <w:sz w:val="22"/>
          <w:szCs w:val="22"/>
          <w:lang w:eastAsia="en-AU"/>
        </w:rPr>
        <w:t>s</w:t>
      </w:r>
      <w:r w:rsidRPr="001B6438">
        <w:rPr>
          <w:rFonts w:eastAsia="Times New Roman" w:cstheme="minorHAnsi"/>
          <w:i w:val="0"/>
          <w:sz w:val="22"/>
          <w:szCs w:val="22"/>
          <w:lang w:eastAsia="en-AU"/>
        </w:rPr>
        <w:t>tory?</w:t>
      </w:r>
    </w:p>
    <w:p w:rsidR="0043542A" w:rsidRPr="001B6438" w:rsidRDefault="0043542A" w:rsidP="00BF30CC">
      <w:pPr>
        <w:pStyle w:val="Heading2"/>
        <w:rPr>
          <w:i/>
        </w:rPr>
      </w:pPr>
      <w:r w:rsidRPr="001B6438">
        <w:t>Web and social media</w:t>
      </w:r>
    </w:p>
    <w:p w:rsidR="0043542A" w:rsidRPr="002F3BB0" w:rsidRDefault="00911931" w:rsidP="001B6438">
      <w:pPr>
        <w:spacing w:before="120" w:after="0" w:line="240" w:lineRule="auto"/>
        <w:rPr>
          <w:rFonts w:cstheme="minorHAnsi"/>
          <w:i w:val="0"/>
          <w:sz w:val="22"/>
          <w:szCs w:val="22"/>
        </w:rPr>
      </w:pPr>
      <w:r>
        <w:rPr>
          <w:rFonts w:cstheme="minorHAnsi"/>
          <w:i w:val="0"/>
          <w:sz w:val="22"/>
          <w:szCs w:val="22"/>
        </w:rPr>
        <w:t xml:space="preserve">Effective use of web based technologies supports </w:t>
      </w:r>
      <w:r w:rsidR="0043542A" w:rsidRPr="002F3BB0">
        <w:rPr>
          <w:rFonts w:cstheme="minorHAnsi"/>
          <w:i w:val="0"/>
          <w:sz w:val="22"/>
          <w:szCs w:val="22"/>
        </w:rPr>
        <w:t xml:space="preserve">the ADCQ’s drive to </w:t>
      </w:r>
      <w:r w:rsidR="00B178DC">
        <w:rPr>
          <w:rFonts w:cstheme="minorHAnsi"/>
          <w:i w:val="0"/>
          <w:sz w:val="22"/>
          <w:szCs w:val="22"/>
        </w:rPr>
        <w:t xml:space="preserve">engage with the </w:t>
      </w:r>
      <w:r w:rsidR="0043542A" w:rsidRPr="002F3BB0">
        <w:rPr>
          <w:rFonts w:cstheme="minorHAnsi"/>
          <w:i w:val="0"/>
          <w:sz w:val="22"/>
          <w:szCs w:val="22"/>
        </w:rPr>
        <w:t>community</w:t>
      </w:r>
      <w:r>
        <w:rPr>
          <w:rFonts w:cstheme="minorHAnsi"/>
          <w:i w:val="0"/>
          <w:sz w:val="22"/>
          <w:szCs w:val="22"/>
        </w:rPr>
        <w:t xml:space="preserve">, provide digital means of access and service delivery, and connect with a wide range of clients. </w:t>
      </w:r>
      <w:r w:rsidR="00701652" w:rsidRPr="002F3BB0">
        <w:rPr>
          <w:rFonts w:cstheme="minorHAnsi"/>
          <w:i w:val="0"/>
          <w:sz w:val="22"/>
          <w:szCs w:val="22"/>
        </w:rPr>
        <w:t xml:space="preserve">The website was redeveloped </w:t>
      </w:r>
      <w:r w:rsidR="00A8170D">
        <w:rPr>
          <w:rFonts w:cstheme="minorHAnsi"/>
          <w:i w:val="0"/>
          <w:sz w:val="22"/>
          <w:szCs w:val="22"/>
        </w:rPr>
        <w:t xml:space="preserve">in the </w:t>
      </w:r>
      <w:r>
        <w:rPr>
          <w:rFonts w:cstheme="minorHAnsi"/>
          <w:i w:val="0"/>
          <w:sz w:val="22"/>
          <w:szCs w:val="22"/>
        </w:rPr>
        <w:t>previous</w:t>
      </w:r>
      <w:r w:rsidRPr="002F3BB0">
        <w:rPr>
          <w:rFonts w:cstheme="minorHAnsi"/>
          <w:i w:val="0"/>
          <w:sz w:val="22"/>
          <w:szCs w:val="22"/>
        </w:rPr>
        <w:t xml:space="preserve"> </w:t>
      </w:r>
      <w:r w:rsidR="00701652" w:rsidRPr="002F3BB0">
        <w:rPr>
          <w:rFonts w:cstheme="minorHAnsi"/>
          <w:i w:val="0"/>
          <w:sz w:val="22"/>
          <w:szCs w:val="22"/>
        </w:rPr>
        <w:t xml:space="preserve">financial year and </w:t>
      </w:r>
      <w:r w:rsidR="00B178DC">
        <w:rPr>
          <w:rFonts w:cstheme="minorHAnsi"/>
          <w:i w:val="0"/>
          <w:sz w:val="22"/>
          <w:szCs w:val="22"/>
        </w:rPr>
        <w:t>is accessible for users with assistive technologies. The</w:t>
      </w:r>
      <w:r w:rsidR="0043542A" w:rsidRPr="002F3BB0">
        <w:rPr>
          <w:rFonts w:cstheme="minorHAnsi"/>
          <w:i w:val="0"/>
          <w:sz w:val="22"/>
          <w:szCs w:val="22"/>
        </w:rPr>
        <w:t xml:space="preserve"> user experience </w:t>
      </w:r>
      <w:r w:rsidR="00B178DC">
        <w:rPr>
          <w:rFonts w:cstheme="minorHAnsi"/>
          <w:i w:val="0"/>
          <w:sz w:val="22"/>
          <w:szCs w:val="22"/>
        </w:rPr>
        <w:t>in general has been enhanced to</w:t>
      </w:r>
      <w:r w:rsidR="00B178DC" w:rsidRPr="002F3BB0">
        <w:rPr>
          <w:rFonts w:cstheme="minorHAnsi"/>
          <w:i w:val="0"/>
          <w:sz w:val="22"/>
          <w:szCs w:val="22"/>
        </w:rPr>
        <w:t xml:space="preserve"> </w:t>
      </w:r>
      <w:r w:rsidR="0043542A" w:rsidRPr="002F3BB0">
        <w:rPr>
          <w:rFonts w:cstheme="minorHAnsi"/>
          <w:i w:val="0"/>
          <w:sz w:val="22"/>
          <w:szCs w:val="22"/>
        </w:rPr>
        <w:t xml:space="preserve">make </w:t>
      </w:r>
      <w:r w:rsidR="00B178DC">
        <w:rPr>
          <w:rFonts w:cstheme="minorHAnsi"/>
          <w:i w:val="0"/>
          <w:sz w:val="22"/>
          <w:szCs w:val="22"/>
        </w:rPr>
        <w:t>finding information and accessing the</w:t>
      </w:r>
      <w:r w:rsidR="0043542A" w:rsidRPr="002F3BB0">
        <w:rPr>
          <w:rFonts w:cstheme="minorHAnsi"/>
          <w:i w:val="0"/>
          <w:sz w:val="22"/>
          <w:szCs w:val="22"/>
        </w:rPr>
        <w:t xml:space="preserve"> </w:t>
      </w:r>
      <w:r w:rsidR="00B178DC">
        <w:rPr>
          <w:rFonts w:cstheme="minorHAnsi"/>
          <w:i w:val="0"/>
          <w:sz w:val="22"/>
          <w:szCs w:val="22"/>
        </w:rPr>
        <w:t>C</w:t>
      </w:r>
      <w:r w:rsidR="0043542A" w:rsidRPr="002F3BB0">
        <w:rPr>
          <w:rFonts w:cstheme="minorHAnsi"/>
          <w:i w:val="0"/>
          <w:sz w:val="22"/>
          <w:szCs w:val="22"/>
        </w:rPr>
        <w:t>ommission</w:t>
      </w:r>
      <w:r w:rsidR="00B178DC">
        <w:rPr>
          <w:rFonts w:cstheme="minorHAnsi"/>
          <w:i w:val="0"/>
          <w:sz w:val="22"/>
          <w:szCs w:val="22"/>
        </w:rPr>
        <w:t>’s services</w:t>
      </w:r>
      <w:r w:rsidR="0043542A" w:rsidRPr="002F3BB0">
        <w:rPr>
          <w:rFonts w:cstheme="minorHAnsi"/>
          <w:i w:val="0"/>
          <w:sz w:val="22"/>
          <w:szCs w:val="22"/>
        </w:rPr>
        <w:t xml:space="preserve"> easier</w:t>
      </w:r>
      <w:r w:rsidR="00B178DC">
        <w:rPr>
          <w:rFonts w:cstheme="minorHAnsi"/>
          <w:i w:val="0"/>
          <w:sz w:val="22"/>
          <w:szCs w:val="22"/>
        </w:rPr>
        <w:t>.</w:t>
      </w:r>
    </w:p>
    <w:p w:rsidR="0043542A" w:rsidRPr="002F3BB0" w:rsidRDefault="0043542A" w:rsidP="001B6438">
      <w:pPr>
        <w:spacing w:before="240" w:after="0" w:line="240" w:lineRule="auto"/>
        <w:rPr>
          <w:rFonts w:cstheme="minorHAnsi"/>
          <w:i w:val="0"/>
          <w:sz w:val="22"/>
          <w:szCs w:val="22"/>
        </w:rPr>
      </w:pPr>
      <w:r w:rsidRPr="002F3BB0">
        <w:rPr>
          <w:rFonts w:cstheme="minorHAnsi"/>
          <w:i w:val="0"/>
          <w:sz w:val="22"/>
          <w:szCs w:val="22"/>
        </w:rPr>
        <w:t xml:space="preserve">The ADCQ website is currently AA compliant with the W3C (World </w:t>
      </w:r>
      <w:r w:rsidR="00F92914">
        <w:rPr>
          <w:rFonts w:cstheme="minorHAnsi"/>
          <w:i w:val="0"/>
          <w:sz w:val="22"/>
          <w:szCs w:val="22"/>
        </w:rPr>
        <w:t xml:space="preserve">Wide </w:t>
      </w:r>
      <w:r w:rsidRPr="002F3BB0">
        <w:rPr>
          <w:rFonts w:cstheme="minorHAnsi"/>
          <w:i w:val="0"/>
          <w:sz w:val="22"/>
          <w:szCs w:val="22"/>
        </w:rPr>
        <w:t>Web Consortium)</w:t>
      </w:r>
      <w:r w:rsidR="00F92914">
        <w:rPr>
          <w:rFonts w:cstheme="minorHAnsi"/>
          <w:i w:val="0"/>
          <w:sz w:val="22"/>
          <w:szCs w:val="22"/>
        </w:rPr>
        <w:t xml:space="preserve"> Guidelines</w:t>
      </w:r>
      <w:r w:rsidRPr="002F3BB0">
        <w:rPr>
          <w:rFonts w:cstheme="minorHAnsi"/>
          <w:i w:val="0"/>
          <w:sz w:val="22"/>
          <w:szCs w:val="22"/>
        </w:rPr>
        <w:t>, and in some areas is AAA compliant. This enables access to people with visual and motor impairments as well as people from non-English speaking backgrounds. The ADCQ is aware of the importance of making information and services accessible to all Queenslanders. The ADCQ is committed to working on conti</w:t>
      </w:r>
      <w:r w:rsidR="00406669">
        <w:rPr>
          <w:rFonts w:cstheme="minorHAnsi"/>
          <w:i w:val="0"/>
          <w:sz w:val="22"/>
          <w:szCs w:val="22"/>
        </w:rPr>
        <w:t>nuous improvement in this area.</w:t>
      </w:r>
    </w:p>
    <w:p w:rsidR="00465BB2" w:rsidRPr="002F3BB0" w:rsidRDefault="00465BB2" w:rsidP="001B6438">
      <w:pPr>
        <w:keepNext/>
        <w:spacing w:before="240" w:after="0" w:line="240" w:lineRule="auto"/>
        <w:rPr>
          <w:rFonts w:eastAsia="Times New Roman" w:cstheme="minorHAnsi"/>
          <w:bCs/>
          <w:i w:val="0"/>
          <w:sz w:val="22"/>
          <w:szCs w:val="22"/>
          <w:lang w:eastAsia="en-AU"/>
        </w:rPr>
      </w:pPr>
      <w:r w:rsidRPr="001B6438">
        <w:rPr>
          <w:rFonts w:cstheme="minorHAnsi"/>
          <w:i w:val="0"/>
          <w:sz w:val="22"/>
          <w:szCs w:val="22"/>
        </w:rPr>
        <w:t xml:space="preserve">The Commission’s website remains a popular </w:t>
      </w:r>
      <w:r w:rsidR="00C95E16" w:rsidRPr="001B6438">
        <w:rPr>
          <w:rFonts w:cstheme="minorHAnsi"/>
          <w:i w:val="0"/>
          <w:sz w:val="22"/>
          <w:szCs w:val="22"/>
        </w:rPr>
        <w:t xml:space="preserve">means </w:t>
      </w:r>
      <w:r w:rsidRPr="001B6438">
        <w:rPr>
          <w:rFonts w:cstheme="minorHAnsi"/>
          <w:i w:val="0"/>
          <w:sz w:val="22"/>
          <w:szCs w:val="22"/>
        </w:rPr>
        <w:t>for Queenslanders to access information on</w:t>
      </w:r>
      <w:r w:rsidRPr="002F3BB0">
        <w:rPr>
          <w:rFonts w:eastAsia="Times New Roman" w:cstheme="minorHAnsi"/>
          <w:bCs/>
          <w:i w:val="0"/>
          <w:sz w:val="22"/>
          <w:szCs w:val="22"/>
          <w:lang w:eastAsia="en-AU"/>
        </w:rPr>
        <w:t xml:space="preserve"> discrimination law and the services of the ADCQ. In 2013-14 there were 88</w:t>
      </w:r>
      <w:r w:rsidR="00C95E16">
        <w:rPr>
          <w:rFonts w:eastAsia="Times New Roman" w:cstheme="minorHAnsi"/>
          <w:bCs/>
          <w:i w:val="0"/>
          <w:sz w:val="22"/>
          <w:szCs w:val="22"/>
          <w:lang w:eastAsia="en-AU"/>
        </w:rPr>
        <w:t>,</w:t>
      </w:r>
      <w:r w:rsidRPr="002F3BB0">
        <w:rPr>
          <w:rFonts w:eastAsia="Times New Roman" w:cstheme="minorHAnsi"/>
          <w:bCs/>
          <w:i w:val="0"/>
          <w:sz w:val="22"/>
          <w:szCs w:val="22"/>
          <w:lang w:eastAsia="en-AU"/>
        </w:rPr>
        <w:t>424 visitors to the Commission’s website, with 71.</w:t>
      </w:r>
      <w:r w:rsidR="00406669">
        <w:rPr>
          <w:rFonts w:eastAsia="Times New Roman" w:cstheme="minorHAnsi"/>
          <w:bCs/>
          <w:i w:val="0"/>
          <w:sz w:val="22"/>
          <w:szCs w:val="22"/>
          <w:lang w:eastAsia="en-AU"/>
        </w:rPr>
        <w:t>6% of those being new visitors.</w:t>
      </w:r>
    </w:p>
    <w:p w:rsidR="006D7D19" w:rsidRPr="002F3BB0" w:rsidRDefault="00465BB2" w:rsidP="001B6438">
      <w:pPr>
        <w:spacing w:before="240" w:after="0" w:line="240" w:lineRule="auto"/>
        <w:rPr>
          <w:b/>
          <w:bCs/>
          <w:color w:val="595959" w:themeColor="accent2" w:themeShade="80"/>
          <w:sz w:val="22"/>
          <w:szCs w:val="18"/>
        </w:rPr>
      </w:pPr>
      <w:r w:rsidRPr="002F3BB0">
        <w:rPr>
          <w:rFonts w:eastAsia="Times New Roman" w:cstheme="minorHAnsi"/>
          <w:bCs/>
          <w:i w:val="0"/>
          <w:sz w:val="22"/>
          <w:szCs w:val="22"/>
          <w:lang w:eastAsia="en-AU"/>
        </w:rPr>
        <w:t xml:space="preserve">Table 3 shows the top 20 most visited pages on the Commission’s website in 2013-14. </w:t>
      </w:r>
      <w:r w:rsidR="00C95E16">
        <w:rPr>
          <w:rFonts w:eastAsia="Times New Roman" w:cstheme="minorHAnsi"/>
          <w:bCs/>
          <w:i w:val="0"/>
          <w:sz w:val="22"/>
          <w:szCs w:val="22"/>
          <w:lang w:eastAsia="en-AU"/>
        </w:rPr>
        <w:t>T</w:t>
      </w:r>
      <w:r w:rsidR="00CF7CD5" w:rsidRPr="002F3BB0">
        <w:rPr>
          <w:rFonts w:eastAsia="Times New Roman" w:cstheme="minorHAnsi"/>
          <w:bCs/>
          <w:i w:val="0"/>
          <w:sz w:val="22"/>
          <w:szCs w:val="22"/>
          <w:lang w:eastAsia="en-AU"/>
        </w:rPr>
        <w:t xml:space="preserve">his list </w:t>
      </w:r>
      <w:r w:rsidR="00C95E16">
        <w:rPr>
          <w:rFonts w:eastAsia="Times New Roman" w:cstheme="minorHAnsi"/>
          <w:bCs/>
          <w:i w:val="0"/>
          <w:sz w:val="22"/>
          <w:szCs w:val="22"/>
          <w:lang w:eastAsia="en-AU"/>
        </w:rPr>
        <w:t xml:space="preserve">shows </w:t>
      </w:r>
      <w:r w:rsidR="00CF7CD5" w:rsidRPr="002F3BB0">
        <w:rPr>
          <w:rFonts w:eastAsia="Times New Roman" w:cstheme="minorHAnsi"/>
          <w:bCs/>
          <w:i w:val="0"/>
          <w:sz w:val="22"/>
          <w:szCs w:val="22"/>
          <w:lang w:eastAsia="en-AU"/>
        </w:rPr>
        <w:t xml:space="preserve">that visitors to the site are </w:t>
      </w:r>
      <w:r w:rsidR="00F326E3">
        <w:rPr>
          <w:rFonts w:eastAsia="Times New Roman" w:cstheme="minorHAnsi"/>
          <w:bCs/>
          <w:i w:val="0"/>
          <w:sz w:val="22"/>
          <w:szCs w:val="22"/>
          <w:lang w:eastAsia="en-AU"/>
        </w:rPr>
        <w:t>locating</w:t>
      </w:r>
      <w:r w:rsidR="00CF7CD5" w:rsidRPr="002F3BB0">
        <w:rPr>
          <w:rFonts w:eastAsia="Times New Roman" w:cstheme="minorHAnsi"/>
          <w:bCs/>
          <w:i w:val="0"/>
          <w:sz w:val="22"/>
          <w:szCs w:val="22"/>
          <w:lang w:eastAsia="en-AU"/>
        </w:rPr>
        <w:t xml:space="preserve"> information products and resources developed by the Commission. In particular they are accessing the newly developed schools resources, information and resources for employers</w:t>
      </w:r>
      <w:r w:rsidR="0041733A">
        <w:rPr>
          <w:rFonts w:eastAsia="Times New Roman" w:cstheme="minorHAnsi"/>
          <w:bCs/>
          <w:i w:val="0"/>
          <w:sz w:val="22"/>
          <w:szCs w:val="22"/>
          <w:lang w:eastAsia="en-AU"/>
        </w:rPr>
        <w:t>,</w:t>
      </w:r>
      <w:r w:rsidR="00CF7CD5" w:rsidRPr="002F3BB0">
        <w:rPr>
          <w:rFonts w:eastAsia="Times New Roman" w:cstheme="minorHAnsi"/>
          <w:bCs/>
          <w:i w:val="0"/>
          <w:sz w:val="22"/>
          <w:szCs w:val="22"/>
          <w:lang w:eastAsia="en-AU"/>
        </w:rPr>
        <w:t xml:space="preserve"> </w:t>
      </w:r>
      <w:r w:rsidR="00C95E16">
        <w:rPr>
          <w:rFonts w:eastAsia="Times New Roman" w:cstheme="minorHAnsi"/>
          <w:bCs/>
          <w:i w:val="0"/>
          <w:sz w:val="22"/>
          <w:szCs w:val="22"/>
          <w:lang w:eastAsia="en-AU"/>
        </w:rPr>
        <w:t>as well as</w:t>
      </w:r>
      <w:r w:rsidR="00406669">
        <w:rPr>
          <w:rFonts w:eastAsia="Times New Roman" w:cstheme="minorHAnsi"/>
          <w:bCs/>
          <w:i w:val="0"/>
          <w:sz w:val="22"/>
          <w:szCs w:val="22"/>
          <w:lang w:eastAsia="en-AU"/>
        </w:rPr>
        <w:t xml:space="preserve"> information on complaints.</w:t>
      </w:r>
    </w:p>
    <w:p w:rsidR="00C11B09" w:rsidRPr="002F3BB0" w:rsidRDefault="00C11B09" w:rsidP="00C11B09">
      <w:pPr>
        <w:pStyle w:val="Caption"/>
        <w:keepNext/>
        <w:spacing w:before="240"/>
        <w:rPr>
          <w:color w:val="595959" w:themeColor="accent2" w:themeShade="80"/>
          <w:sz w:val="22"/>
        </w:rPr>
      </w:pPr>
      <w:r w:rsidRPr="002F3BB0">
        <w:rPr>
          <w:color w:val="595959" w:themeColor="accent2" w:themeShade="80"/>
          <w:sz w:val="22"/>
        </w:rPr>
        <w:t xml:space="preserve">Table </w:t>
      </w:r>
      <w:r w:rsidRPr="002F3BB0">
        <w:rPr>
          <w:color w:val="595959" w:themeColor="accent2" w:themeShade="80"/>
          <w:sz w:val="22"/>
        </w:rPr>
        <w:fldChar w:fldCharType="begin"/>
      </w:r>
      <w:r w:rsidRPr="002F3BB0">
        <w:rPr>
          <w:color w:val="595959" w:themeColor="accent2" w:themeShade="80"/>
          <w:sz w:val="22"/>
        </w:rPr>
        <w:instrText xml:space="preserve"> SEQ Table \* ARABIC </w:instrText>
      </w:r>
      <w:r w:rsidRPr="002F3BB0">
        <w:rPr>
          <w:color w:val="595959" w:themeColor="accent2" w:themeShade="80"/>
          <w:sz w:val="22"/>
        </w:rPr>
        <w:fldChar w:fldCharType="separate"/>
      </w:r>
      <w:r w:rsidR="00860326">
        <w:rPr>
          <w:noProof/>
          <w:color w:val="595959" w:themeColor="accent2" w:themeShade="80"/>
          <w:sz w:val="22"/>
        </w:rPr>
        <w:t>3</w:t>
      </w:r>
      <w:r w:rsidRPr="002F3BB0">
        <w:rPr>
          <w:color w:val="595959" w:themeColor="accent2" w:themeShade="80"/>
          <w:sz w:val="22"/>
        </w:rPr>
        <w:fldChar w:fldCharType="end"/>
      </w:r>
      <w:r w:rsidR="009D5BD8">
        <w:rPr>
          <w:color w:val="595959" w:themeColor="accent2" w:themeShade="80"/>
          <w:sz w:val="22"/>
        </w:rPr>
        <w:t>:</w:t>
      </w:r>
      <w:r w:rsidR="006D7D19" w:rsidRPr="002F3BB0">
        <w:rPr>
          <w:color w:val="595959" w:themeColor="accent2" w:themeShade="80"/>
          <w:sz w:val="22"/>
        </w:rPr>
        <w:t xml:space="preserve"> Top 20 most visited website pages</w:t>
      </w:r>
    </w:p>
    <w:tbl>
      <w:tblPr>
        <w:tblStyle w:val="TableGrid"/>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Description w:val="Top 20 most visited website pages"/>
      </w:tblPr>
      <w:tblGrid>
        <w:gridCol w:w="831"/>
        <w:gridCol w:w="4414"/>
        <w:gridCol w:w="817"/>
        <w:gridCol w:w="3902"/>
      </w:tblGrid>
      <w:tr w:rsidR="006D7D19" w:rsidRPr="002F3BB0" w:rsidTr="0084223A">
        <w:trPr>
          <w:trHeight w:val="318"/>
          <w:tblCellSpacing w:w="20" w:type="dxa"/>
          <w:jc w:val="center"/>
        </w:trPr>
        <w:tc>
          <w:tcPr>
            <w:tcW w:w="771"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1</w:t>
            </w:r>
          </w:p>
        </w:tc>
        <w:tc>
          <w:tcPr>
            <w:tcW w:w="4374"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Complaints – discrimination</w:t>
            </w:r>
          </w:p>
        </w:tc>
        <w:tc>
          <w:tcPr>
            <w:tcW w:w="777"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11</w:t>
            </w:r>
          </w:p>
        </w:tc>
        <w:tc>
          <w:tcPr>
            <w:tcW w:w="3842"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Resources for students and teachers</w:t>
            </w:r>
          </w:p>
        </w:tc>
      </w:tr>
      <w:tr w:rsidR="006D7D19" w:rsidRPr="002F3BB0" w:rsidTr="0084223A">
        <w:trPr>
          <w:trHeight w:val="318"/>
          <w:tblCellSpacing w:w="20" w:type="dxa"/>
          <w:jc w:val="center"/>
        </w:trPr>
        <w:tc>
          <w:tcPr>
            <w:tcW w:w="771"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2</w:t>
            </w:r>
          </w:p>
        </w:tc>
        <w:tc>
          <w:tcPr>
            <w:tcW w:w="4374"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Resources for employers</w:t>
            </w:r>
          </w:p>
        </w:tc>
        <w:tc>
          <w:tcPr>
            <w:tcW w:w="777"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12</w:t>
            </w:r>
          </w:p>
        </w:tc>
        <w:tc>
          <w:tcPr>
            <w:tcW w:w="3842"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Fact sheets</w:t>
            </w:r>
          </w:p>
        </w:tc>
      </w:tr>
      <w:tr w:rsidR="006D7D19" w:rsidRPr="002F3BB0" w:rsidTr="0084223A">
        <w:trPr>
          <w:trHeight w:val="318"/>
          <w:tblCellSpacing w:w="20" w:type="dxa"/>
          <w:jc w:val="center"/>
        </w:trPr>
        <w:tc>
          <w:tcPr>
            <w:tcW w:w="771"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3</w:t>
            </w:r>
          </w:p>
        </w:tc>
        <w:tc>
          <w:tcPr>
            <w:tcW w:w="4374"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Making a complaint</w:t>
            </w:r>
          </w:p>
        </w:tc>
        <w:tc>
          <w:tcPr>
            <w:tcW w:w="777"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13</w:t>
            </w:r>
          </w:p>
        </w:tc>
        <w:tc>
          <w:tcPr>
            <w:tcW w:w="3842"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Legislation</w:t>
            </w:r>
          </w:p>
        </w:tc>
      </w:tr>
      <w:tr w:rsidR="006D7D19" w:rsidRPr="002F3BB0" w:rsidTr="0084223A">
        <w:trPr>
          <w:trHeight w:val="318"/>
          <w:tblCellSpacing w:w="20" w:type="dxa"/>
          <w:jc w:val="center"/>
        </w:trPr>
        <w:tc>
          <w:tcPr>
            <w:tcW w:w="771"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4</w:t>
            </w:r>
          </w:p>
        </w:tc>
        <w:tc>
          <w:tcPr>
            <w:tcW w:w="4374"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Complaints</w:t>
            </w:r>
          </w:p>
        </w:tc>
        <w:tc>
          <w:tcPr>
            <w:tcW w:w="777"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14</w:t>
            </w:r>
          </w:p>
        </w:tc>
        <w:tc>
          <w:tcPr>
            <w:tcW w:w="3842"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About us</w:t>
            </w:r>
          </w:p>
        </w:tc>
      </w:tr>
      <w:tr w:rsidR="006D7D19" w:rsidRPr="002F3BB0" w:rsidTr="0084223A">
        <w:trPr>
          <w:trHeight w:val="318"/>
          <w:tblCellSpacing w:w="20" w:type="dxa"/>
          <w:jc w:val="center"/>
        </w:trPr>
        <w:tc>
          <w:tcPr>
            <w:tcW w:w="771"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5</w:t>
            </w:r>
          </w:p>
        </w:tc>
        <w:tc>
          <w:tcPr>
            <w:tcW w:w="4374"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Legal information</w:t>
            </w:r>
          </w:p>
        </w:tc>
        <w:tc>
          <w:tcPr>
            <w:tcW w:w="777"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15</w:t>
            </w:r>
          </w:p>
        </w:tc>
        <w:tc>
          <w:tcPr>
            <w:tcW w:w="3842"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Victimisation</w:t>
            </w:r>
          </w:p>
        </w:tc>
      </w:tr>
      <w:tr w:rsidR="006D7D19" w:rsidRPr="002F3BB0" w:rsidTr="0084223A">
        <w:trPr>
          <w:trHeight w:val="318"/>
          <w:tblCellSpacing w:w="20" w:type="dxa"/>
          <w:jc w:val="center"/>
        </w:trPr>
        <w:tc>
          <w:tcPr>
            <w:tcW w:w="771"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6</w:t>
            </w:r>
          </w:p>
        </w:tc>
        <w:tc>
          <w:tcPr>
            <w:tcW w:w="4374"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Brochures and guides</w:t>
            </w:r>
          </w:p>
        </w:tc>
        <w:tc>
          <w:tcPr>
            <w:tcW w:w="777"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16</w:t>
            </w:r>
          </w:p>
        </w:tc>
        <w:tc>
          <w:tcPr>
            <w:tcW w:w="3842"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What we do</w:t>
            </w:r>
          </w:p>
        </w:tc>
      </w:tr>
      <w:tr w:rsidR="006D7D19" w:rsidRPr="002F3BB0" w:rsidTr="0084223A">
        <w:trPr>
          <w:trHeight w:val="318"/>
          <w:tblCellSpacing w:w="20" w:type="dxa"/>
          <w:jc w:val="center"/>
        </w:trPr>
        <w:tc>
          <w:tcPr>
            <w:tcW w:w="771"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7</w:t>
            </w:r>
          </w:p>
        </w:tc>
        <w:tc>
          <w:tcPr>
            <w:tcW w:w="4374"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Contact us</w:t>
            </w:r>
          </w:p>
        </w:tc>
        <w:tc>
          <w:tcPr>
            <w:tcW w:w="777"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17</w:t>
            </w:r>
          </w:p>
        </w:tc>
        <w:tc>
          <w:tcPr>
            <w:tcW w:w="3842"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Employer’s toolkit</w:t>
            </w:r>
          </w:p>
        </w:tc>
      </w:tr>
      <w:tr w:rsidR="006D7D19" w:rsidRPr="002F3BB0" w:rsidTr="0084223A">
        <w:trPr>
          <w:trHeight w:val="318"/>
          <w:tblCellSpacing w:w="20" w:type="dxa"/>
          <w:jc w:val="center"/>
        </w:trPr>
        <w:tc>
          <w:tcPr>
            <w:tcW w:w="771"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8</w:t>
            </w:r>
          </w:p>
        </w:tc>
        <w:tc>
          <w:tcPr>
            <w:tcW w:w="4374"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Fact sheets – indirect discrimination</w:t>
            </w:r>
          </w:p>
        </w:tc>
        <w:tc>
          <w:tcPr>
            <w:tcW w:w="777"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18</w:t>
            </w:r>
          </w:p>
        </w:tc>
        <w:tc>
          <w:tcPr>
            <w:tcW w:w="3842"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Sexual harassment</w:t>
            </w:r>
          </w:p>
        </w:tc>
      </w:tr>
      <w:tr w:rsidR="006D7D19" w:rsidRPr="002F3BB0" w:rsidTr="0084223A">
        <w:trPr>
          <w:trHeight w:val="318"/>
          <w:tblCellSpacing w:w="20" w:type="dxa"/>
          <w:jc w:val="center"/>
        </w:trPr>
        <w:tc>
          <w:tcPr>
            <w:tcW w:w="771"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9</w:t>
            </w:r>
          </w:p>
        </w:tc>
        <w:tc>
          <w:tcPr>
            <w:tcW w:w="4374"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Case studies</w:t>
            </w:r>
          </w:p>
        </w:tc>
        <w:tc>
          <w:tcPr>
            <w:tcW w:w="777"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19</w:t>
            </w:r>
          </w:p>
        </w:tc>
        <w:tc>
          <w:tcPr>
            <w:tcW w:w="3842"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Discrimination in employment</w:t>
            </w:r>
          </w:p>
        </w:tc>
      </w:tr>
      <w:tr w:rsidR="006D7D19" w:rsidRPr="002F3BB0" w:rsidTr="0084223A">
        <w:trPr>
          <w:trHeight w:val="318"/>
          <w:tblCellSpacing w:w="20" w:type="dxa"/>
          <w:jc w:val="center"/>
        </w:trPr>
        <w:tc>
          <w:tcPr>
            <w:tcW w:w="771"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10</w:t>
            </w:r>
          </w:p>
        </w:tc>
        <w:tc>
          <w:tcPr>
            <w:tcW w:w="4374"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How to make a complaint</w:t>
            </w:r>
          </w:p>
        </w:tc>
        <w:tc>
          <w:tcPr>
            <w:tcW w:w="777" w:type="dxa"/>
          </w:tcPr>
          <w:p w:rsidR="006D7D19" w:rsidRPr="002F3BB0" w:rsidRDefault="006D7D19" w:rsidP="007B5B53">
            <w:pPr>
              <w:spacing w:before="20" w:after="20"/>
              <w:rPr>
                <w:rFonts w:cstheme="minorHAnsi"/>
                <w:i w:val="0"/>
                <w:sz w:val="22"/>
                <w:szCs w:val="22"/>
              </w:rPr>
            </w:pPr>
            <w:r w:rsidRPr="002F3BB0">
              <w:rPr>
                <w:rFonts w:cstheme="minorHAnsi"/>
                <w:i w:val="0"/>
                <w:sz w:val="22"/>
                <w:szCs w:val="22"/>
              </w:rPr>
              <w:t>20</w:t>
            </w:r>
          </w:p>
        </w:tc>
        <w:tc>
          <w:tcPr>
            <w:tcW w:w="3842" w:type="dxa"/>
          </w:tcPr>
          <w:p w:rsidR="006D7D19" w:rsidRPr="002F3BB0" w:rsidRDefault="006D7D19" w:rsidP="006D7D19">
            <w:pPr>
              <w:spacing w:before="20" w:after="20"/>
              <w:rPr>
                <w:rFonts w:cstheme="minorHAnsi"/>
                <w:i w:val="0"/>
                <w:sz w:val="22"/>
                <w:szCs w:val="22"/>
              </w:rPr>
            </w:pPr>
            <w:r w:rsidRPr="002F3BB0">
              <w:rPr>
                <w:rFonts w:cstheme="minorHAnsi"/>
                <w:i w:val="0"/>
                <w:sz w:val="22"/>
                <w:szCs w:val="22"/>
              </w:rPr>
              <w:t>Employer rights and responsibilities</w:t>
            </w:r>
          </w:p>
        </w:tc>
      </w:tr>
    </w:tbl>
    <w:p w:rsidR="0043542A" w:rsidRPr="002F3BB0" w:rsidRDefault="00CF7CD5" w:rsidP="004C2DED">
      <w:pPr>
        <w:spacing w:before="240" w:after="0" w:line="240" w:lineRule="auto"/>
        <w:rPr>
          <w:rFonts w:cstheme="minorHAnsi"/>
          <w:sz w:val="22"/>
          <w:szCs w:val="22"/>
        </w:rPr>
      </w:pPr>
      <w:r w:rsidRPr="002F3BB0">
        <w:rPr>
          <w:i w:val="0"/>
          <w:sz w:val="22"/>
        </w:rPr>
        <w:lastRenderedPageBreak/>
        <w:t xml:space="preserve">The Commission’s </w:t>
      </w:r>
      <w:r w:rsidR="0041733A">
        <w:rPr>
          <w:i w:val="0"/>
          <w:sz w:val="22"/>
        </w:rPr>
        <w:t xml:space="preserve">has a </w:t>
      </w:r>
      <w:r w:rsidRPr="002F3BB0">
        <w:rPr>
          <w:i w:val="0"/>
          <w:sz w:val="22"/>
        </w:rPr>
        <w:t xml:space="preserve">social media presence </w:t>
      </w:r>
      <w:r w:rsidR="0041733A">
        <w:rPr>
          <w:i w:val="0"/>
          <w:sz w:val="22"/>
        </w:rPr>
        <w:t>with</w:t>
      </w:r>
      <w:r w:rsidRPr="002F3BB0">
        <w:rPr>
          <w:i w:val="0"/>
          <w:sz w:val="22"/>
        </w:rPr>
        <w:t xml:space="preserve"> </w:t>
      </w:r>
      <w:r w:rsidR="0041733A">
        <w:rPr>
          <w:i w:val="0"/>
          <w:sz w:val="22"/>
        </w:rPr>
        <w:t xml:space="preserve">a </w:t>
      </w:r>
      <w:r w:rsidRPr="002F3BB0">
        <w:rPr>
          <w:i w:val="0"/>
          <w:sz w:val="22"/>
        </w:rPr>
        <w:t xml:space="preserve">Facebook page and YouTube channel. </w:t>
      </w:r>
      <w:r w:rsidR="00A8170D">
        <w:rPr>
          <w:i w:val="0"/>
          <w:sz w:val="22"/>
        </w:rPr>
        <w:t>T</w:t>
      </w:r>
      <w:r w:rsidRPr="002F3BB0">
        <w:rPr>
          <w:i w:val="0"/>
          <w:sz w:val="22"/>
        </w:rPr>
        <w:t>hese platforms enable real time dissemination of information, promotion of activities and events</w:t>
      </w:r>
      <w:r w:rsidR="00F531CD">
        <w:rPr>
          <w:i w:val="0"/>
          <w:sz w:val="22"/>
        </w:rPr>
        <w:t>,</w:t>
      </w:r>
      <w:r w:rsidRPr="002F3BB0">
        <w:rPr>
          <w:i w:val="0"/>
          <w:sz w:val="22"/>
        </w:rPr>
        <w:t xml:space="preserve"> and two-way engagement with stakeholders and community members. The ADCQ’s social media engagement is managed by the Community Relations team in the Brisbane office and is guided by an internal social media policy. </w:t>
      </w:r>
      <w:r w:rsidR="000B696A" w:rsidRPr="002F3BB0">
        <w:rPr>
          <w:i w:val="0"/>
          <w:sz w:val="22"/>
        </w:rPr>
        <w:t>The Commission</w:t>
      </w:r>
      <w:r w:rsidR="00A8170D">
        <w:rPr>
          <w:i w:val="0"/>
          <w:sz w:val="22"/>
        </w:rPr>
        <w:t xml:space="preserve"> </w:t>
      </w:r>
      <w:r w:rsidR="00F531CD">
        <w:rPr>
          <w:i w:val="0"/>
          <w:sz w:val="22"/>
        </w:rPr>
        <w:t>will</w:t>
      </w:r>
      <w:r w:rsidR="00A8170D">
        <w:rPr>
          <w:i w:val="0"/>
          <w:sz w:val="22"/>
        </w:rPr>
        <w:t xml:space="preserve"> optimise its use of these platforms</w:t>
      </w:r>
      <w:r w:rsidR="000B696A" w:rsidRPr="002F3BB0">
        <w:rPr>
          <w:i w:val="0"/>
          <w:sz w:val="22"/>
        </w:rPr>
        <w:t xml:space="preserve"> to take advantage of the marketing opportunities </w:t>
      </w:r>
      <w:r w:rsidR="00F531CD">
        <w:rPr>
          <w:i w:val="0"/>
          <w:sz w:val="22"/>
        </w:rPr>
        <w:t xml:space="preserve">available through </w:t>
      </w:r>
      <w:r w:rsidR="000B696A" w:rsidRPr="002F3BB0">
        <w:rPr>
          <w:i w:val="0"/>
          <w:sz w:val="22"/>
        </w:rPr>
        <w:t>s</w:t>
      </w:r>
      <w:r w:rsidR="009A4581">
        <w:rPr>
          <w:i w:val="0"/>
          <w:sz w:val="22"/>
        </w:rPr>
        <w:t>ocial media in the coming year.</w:t>
      </w:r>
    </w:p>
    <w:p w:rsidR="0021773F" w:rsidRPr="002F3BB0" w:rsidRDefault="0021773F" w:rsidP="00BF30CC">
      <w:pPr>
        <w:pStyle w:val="Heading2"/>
        <w:rPr>
          <w:i/>
        </w:rPr>
      </w:pPr>
      <w:r w:rsidRPr="002F3BB0">
        <w:t>Partnerships and networks</w:t>
      </w:r>
    </w:p>
    <w:p w:rsidR="0021773F" w:rsidRPr="002F3BB0" w:rsidRDefault="0021773F" w:rsidP="00AB399C">
      <w:pPr>
        <w:spacing w:before="120" w:after="0" w:line="240" w:lineRule="auto"/>
        <w:rPr>
          <w:rFonts w:cstheme="minorHAnsi"/>
          <w:i w:val="0"/>
          <w:sz w:val="22"/>
          <w:szCs w:val="22"/>
        </w:rPr>
      </w:pPr>
      <w:r w:rsidRPr="002F3BB0">
        <w:rPr>
          <w:rFonts w:cstheme="minorHAnsi"/>
          <w:i w:val="0"/>
          <w:sz w:val="22"/>
          <w:szCs w:val="22"/>
        </w:rPr>
        <w:t xml:space="preserve">As a small organisation, the ADCQ is increasingly aware that the establishment of strong and productive partnerships and networks is an effective strategy </w:t>
      </w:r>
      <w:r w:rsidR="00E95958">
        <w:rPr>
          <w:rFonts w:cstheme="minorHAnsi"/>
          <w:i w:val="0"/>
          <w:sz w:val="22"/>
          <w:szCs w:val="22"/>
        </w:rPr>
        <w:t xml:space="preserve">for </w:t>
      </w:r>
      <w:r w:rsidRPr="002F3BB0">
        <w:rPr>
          <w:rFonts w:cstheme="minorHAnsi"/>
          <w:i w:val="0"/>
          <w:sz w:val="22"/>
          <w:szCs w:val="22"/>
        </w:rPr>
        <w:t>achieving outcomes across a broader range of issues, stakeholder groups and geographical areas. The ADCQ is involved in key networks and partnerships throughout Queensland</w:t>
      </w:r>
      <w:r w:rsidR="00E95958">
        <w:rPr>
          <w:rFonts w:cstheme="minorHAnsi"/>
          <w:i w:val="0"/>
          <w:sz w:val="22"/>
          <w:szCs w:val="22"/>
        </w:rPr>
        <w:t>. Through these we</w:t>
      </w:r>
      <w:r w:rsidRPr="002F3BB0">
        <w:rPr>
          <w:rFonts w:cstheme="minorHAnsi"/>
          <w:i w:val="0"/>
          <w:sz w:val="22"/>
          <w:szCs w:val="22"/>
        </w:rPr>
        <w:t xml:space="preserve"> provid</w:t>
      </w:r>
      <w:r w:rsidR="00E95958">
        <w:rPr>
          <w:rFonts w:cstheme="minorHAnsi"/>
          <w:i w:val="0"/>
          <w:sz w:val="22"/>
          <w:szCs w:val="22"/>
        </w:rPr>
        <w:t>e</w:t>
      </w:r>
      <w:r w:rsidRPr="002F3BB0">
        <w:rPr>
          <w:rFonts w:cstheme="minorHAnsi"/>
          <w:i w:val="0"/>
          <w:sz w:val="22"/>
          <w:szCs w:val="22"/>
        </w:rPr>
        <w:t xml:space="preserve"> </w:t>
      </w:r>
      <w:r w:rsidR="00E95958">
        <w:rPr>
          <w:rFonts w:cstheme="minorHAnsi"/>
          <w:i w:val="0"/>
          <w:sz w:val="22"/>
          <w:szCs w:val="22"/>
        </w:rPr>
        <w:t xml:space="preserve">information </w:t>
      </w:r>
      <w:r w:rsidRPr="002F3BB0">
        <w:rPr>
          <w:rFonts w:cstheme="minorHAnsi"/>
          <w:i w:val="0"/>
          <w:sz w:val="22"/>
          <w:szCs w:val="22"/>
        </w:rPr>
        <w:t>on human rights issues and legislation, in-kind support for actions and initiatives</w:t>
      </w:r>
      <w:r w:rsidR="00E95958">
        <w:rPr>
          <w:rFonts w:cstheme="minorHAnsi"/>
          <w:i w:val="0"/>
          <w:sz w:val="22"/>
          <w:szCs w:val="22"/>
        </w:rPr>
        <w:t xml:space="preserve">, while </w:t>
      </w:r>
      <w:r w:rsidRPr="002F3BB0">
        <w:rPr>
          <w:rFonts w:cstheme="minorHAnsi"/>
          <w:i w:val="0"/>
          <w:sz w:val="22"/>
          <w:szCs w:val="22"/>
        </w:rPr>
        <w:t>gain</w:t>
      </w:r>
      <w:r w:rsidR="00E95958">
        <w:rPr>
          <w:rFonts w:cstheme="minorHAnsi"/>
          <w:i w:val="0"/>
          <w:sz w:val="22"/>
          <w:szCs w:val="22"/>
        </w:rPr>
        <w:t xml:space="preserve">ing </w:t>
      </w:r>
      <w:r w:rsidRPr="002F3BB0">
        <w:rPr>
          <w:rFonts w:cstheme="minorHAnsi"/>
          <w:i w:val="0"/>
          <w:sz w:val="22"/>
          <w:szCs w:val="22"/>
        </w:rPr>
        <w:t xml:space="preserve">a </w:t>
      </w:r>
      <w:r w:rsidR="00E95958">
        <w:rPr>
          <w:rFonts w:cstheme="minorHAnsi"/>
          <w:i w:val="0"/>
          <w:sz w:val="22"/>
          <w:szCs w:val="22"/>
        </w:rPr>
        <w:t>deeper</w:t>
      </w:r>
      <w:r w:rsidR="00E95958" w:rsidRPr="002F3BB0">
        <w:rPr>
          <w:rFonts w:cstheme="minorHAnsi"/>
          <w:i w:val="0"/>
          <w:sz w:val="22"/>
          <w:szCs w:val="22"/>
        </w:rPr>
        <w:t xml:space="preserve"> </w:t>
      </w:r>
      <w:r w:rsidRPr="002F3BB0">
        <w:rPr>
          <w:rFonts w:cstheme="minorHAnsi"/>
          <w:i w:val="0"/>
          <w:sz w:val="22"/>
          <w:szCs w:val="22"/>
        </w:rPr>
        <w:t>understanding of the issues, challenges and achievements within the community.  The key partnerships and networks in which ADCQ was an</w:t>
      </w:r>
      <w:r w:rsidR="00135540" w:rsidRPr="002F3BB0">
        <w:rPr>
          <w:rFonts w:cstheme="minorHAnsi"/>
          <w:i w:val="0"/>
          <w:sz w:val="22"/>
          <w:szCs w:val="22"/>
        </w:rPr>
        <w:t xml:space="preserve"> active member in 201</w:t>
      </w:r>
      <w:r w:rsidR="0053224F" w:rsidRPr="002F3BB0">
        <w:rPr>
          <w:rFonts w:cstheme="minorHAnsi"/>
          <w:i w:val="0"/>
          <w:sz w:val="22"/>
          <w:szCs w:val="22"/>
        </w:rPr>
        <w:t>3</w:t>
      </w:r>
      <w:r w:rsidR="00135540" w:rsidRPr="002F3BB0">
        <w:rPr>
          <w:rFonts w:cstheme="minorHAnsi"/>
          <w:i w:val="0"/>
          <w:sz w:val="22"/>
          <w:szCs w:val="22"/>
        </w:rPr>
        <w:t>-1</w:t>
      </w:r>
      <w:r w:rsidR="0053224F" w:rsidRPr="002F3BB0">
        <w:rPr>
          <w:rFonts w:cstheme="minorHAnsi"/>
          <w:i w:val="0"/>
          <w:sz w:val="22"/>
          <w:szCs w:val="22"/>
        </w:rPr>
        <w:t>4</w:t>
      </w:r>
      <w:r w:rsidR="00135540" w:rsidRPr="002F3BB0">
        <w:rPr>
          <w:rFonts w:cstheme="minorHAnsi"/>
          <w:i w:val="0"/>
          <w:sz w:val="22"/>
          <w:szCs w:val="22"/>
        </w:rPr>
        <w:t xml:space="preserve"> </w:t>
      </w:r>
      <w:r w:rsidR="00135540" w:rsidRPr="00487E2B">
        <w:rPr>
          <w:rFonts w:cstheme="minorHAnsi"/>
          <w:i w:val="0"/>
          <w:sz w:val="22"/>
          <w:szCs w:val="22"/>
        </w:rPr>
        <w:t>are:</w:t>
      </w:r>
    </w:p>
    <w:p w:rsidR="0053224F" w:rsidRPr="00487E2B" w:rsidRDefault="0053224F" w:rsidP="00BF30CC">
      <w:pPr>
        <w:pStyle w:val="Heading2"/>
      </w:pPr>
      <w:r w:rsidRPr="00666151">
        <w:t xml:space="preserve">Amendment of the </w:t>
      </w:r>
      <w:r w:rsidRPr="00BF30CC">
        <w:rPr>
          <w:i/>
        </w:rPr>
        <w:t>Workers’ Compensation and Rehabilitation Act 2003</w:t>
      </w:r>
    </w:p>
    <w:p w:rsidR="00281685" w:rsidRPr="002F3BB0" w:rsidRDefault="00281685" w:rsidP="00666151">
      <w:pPr>
        <w:spacing w:before="120" w:after="0" w:line="240" w:lineRule="auto"/>
        <w:rPr>
          <w:color w:val="1F497D"/>
        </w:rPr>
      </w:pPr>
      <w:r w:rsidRPr="002F3BB0">
        <w:rPr>
          <w:i w:val="0"/>
          <w:sz w:val="22"/>
        </w:rPr>
        <w:t xml:space="preserve">Following legislative changes, the Commission </w:t>
      </w:r>
      <w:r w:rsidR="00C33B05">
        <w:rPr>
          <w:i w:val="0"/>
          <w:sz w:val="22"/>
        </w:rPr>
        <w:t>consulted</w:t>
      </w:r>
      <w:r w:rsidR="00C33B05" w:rsidRPr="002F3BB0">
        <w:rPr>
          <w:i w:val="0"/>
          <w:sz w:val="22"/>
        </w:rPr>
        <w:t xml:space="preserve"> </w:t>
      </w:r>
      <w:r w:rsidRPr="002F3BB0">
        <w:rPr>
          <w:i w:val="0"/>
          <w:sz w:val="22"/>
        </w:rPr>
        <w:t xml:space="preserve">with WorkCover </w:t>
      </w:r>
      <w:r w:rsidR="00C33B05">
        <w:rPr>
          <w:i w:val="0"/>
          <w:sz w:val="22"/>
        </w:rPr>
        <w:t>in the</w:t>
      </w:r>
      <w:r w:rsidR="00C33B05" w:rsidRPr="002F3BB0">
        <w:rPr>
          <w:i w:val="0"/>
          <w:sz w:val="22"/>
        </w:rPr>
        <w:t xml:space="preserve"> </w:t>
      </w:r>
      <w:r w:rsidRPr="002F3BB0">
        <w:rPr>
          <w:i w:val="0"/>
          <w:sz w:val="22"/>
        </w:rPr>
        <w:t>develop</w:t>
      </w:r>
      <w:r w:rsidR="00C33B05">
        <w:rPr>
          <w:i w:val="0"/>
          <w:sz w:val="22"/>
        </w:rPr>
        <w:t xml:space="preserve">ment of </w:t>
      </w:r>
      <w:r w:rsidRPr="002F3BB0">
        <w:rPr>
          <w:i w:val="0"/>
          <w:sz w:val="22"/>
        </w:rPr>
        <w:t xml:space="preserve">factsheets to explain the rights and responsibilities of employers and workers in relation to the disclosure of workers’ compensation history and pre-existing impairments. The factsheets </w:t>
      </w:r>
      <w:r w:rsidR="00C33B05">
        <w:rPr>
          <w:i w:val="0"/>
          <w:sz w:val="22"/>
        </w:rPr>
        <w:t>were made</w:t>
      </w:r>
      <w:r w:rsidRPr="002F3BB0">
        <w:rPr>
          <w:i w:val="0"/>
          <w:sz w:val="22"/>
        </w:rPr>
        <w:t xml:space="preserve"> available through the websites </w:t>
      </w:r>
      <w:r w:rsidR="00A8170D">
        <w:rPr>
          <w:i w:val="0"/>
          <w:sz w:val="22"/>
        </w:rPr>
        <w:t>of both</w:t>
      </w:r>
      <w:r w:rsidRPr="002F3BB0">
        <w:rPr>
          <w:i w:val="0"/>
          <w:sz w:val="22"/>
        </w:rPr>
        <w:t xml:space="preserve"> the Commission and WorkCover. </w:t>
      </w:r>
      <w:r w:rsidR="00A8170D">
        <w:rPr>
          <w:i w:val="0"/>
          <w:sz w:val="22"/>
        </w:rPr>
        <w:t xml:space="preserve">To </w:t>
      </w:r>
      <w:r w:rsidR="00C33B05">
        <w:rPr>
          <w:i w:val="0"/>
          <w:sz w:val="22"/>
        </w:rPr>
        <w:t xml:space="preserve">clarify questions </w:t>
      </w:r>
      <w:r w:rsidRPr="002F3BB0">
        <w:rPr>
          <w:i w:val="0"/>
          <w:sz w:val="22"/>
        </w:rPr>
        <w:t xml:space="preserve">about how </w:t>
      </w:r>
      <w:r w:rsidR="00C33B05">
        <w:rPr>
          <w:i w:val="0"/>
          <w:sz w:val="22"/>
        </w:rPr>
        <w:t xml:space="preserve">anti-discrimination law </w:t>
      </w:r>
      <w:r w:rsidRPr="002F3BB0">
        <w:rPr>
          <w:i w:val="0"/>
          <w:sz w:val="22"/>
        </w:rPr>
        <w:t>operates</w:t>
      </w:r>
      <w:r w:rsidR="00C33B05">
        <w:rPr>
          <w:i w:val="0"/>
          <w:sz w:val="22"/>
        </w:rPr>
        <w:t xml:space="preserve"> in the context of workers’ compensation law</w:t>
      </w:r>
      <w:r w:rsidRPr="002F3BB0">
        <w:rPr>
          <w:i w:val="0"/>
          <w:sz w:val="22"/>
        </w:rPr>
        <w:t xml:space="preserve">, WorkCover and the Commission </w:t>
      </w:r>
      <w:r w:rsidR="00215B22">
        <w:rPr>
          <w:i w:val="0"/>
          <w:sz w:val="22"/>
        </w:rPr>
        <w:t xml:space="preserve">partnered to </w:t>
      </w:r>
      <w:r w:rsidRPr="002F3BB0">
        <w:rPr>
          <w:i w:val="0"/>
          <w:sz w:val="22"/>
        </w:rPr>
        <w:t>present a joint webinar</w:t>
      </w:r>
      <w:r w:rsidR="00C33B05">
        <w:rPr>
          <w:i w:val="0"/>
          <w:sz w:val="22"/>
        </w:rPr>
        <w:t>.</w:t>
      </w:r>
      <w:r w:rsidRPr="002F3BB0">
        <w:rPr>
          <w:i w:val="0"/>
          <w:sz w:val="22"/>
        </w:rPr>
        <w:t xml:space="preserve"> </w:t>
      </w:r>
      <w:r w:rsidR="00C33B05">
        <w:rPr>
          <w:i w:val="0"/>
          <w:sz w:val="22"/>
        </w:rPr>
        <w:t xml:space="preserve">The focus was </w:t>
      </w:r>
      <w:r w:rsidRPr="002F3BB0">
        <w:rPr>
          <w:i w:val="0"/>
          <w:sz w:val="22"/>
        </w:rPr>
        <w:t>to assist businesses to understand what they can and cannot do to ensure that they recruit without discriminating</w:t>
      </w:r>
      <w:r w:rsidR="00C33B05">
        <w:rPr>
          <w:i w:val="0"/>
          <w:sz w:val="22"/>
        </w:rPr>
        <w:t>,</w:t>
      </w:r>
      <w:r w:rsidRPr="002F3BB0">
        <w:rPr>
          <w:i w:val="0"/>
          <w:sz w:val="22"/>
        </w:rPr>
        <w:t xml:space="preserve"> and ensure </w:t>
      </w:r>
      <w:r w:rsidR="00C33B05">
        <w:rPr>
          <w:i w:val="0"/>
          <w:sz w:val="22"/>
        </w:rPr>
        <w:t>that</w:t>
      </w:r>
      <w:r w:rsidR="00C33B05" w:rsidRPr="002F3BB0">
        <w:rPr>
          <w:i w:val="0"/>
          <w:sz w:val="22"/>
        </w:rPr>
        <w:t xml:space="preserve"> </w:t>
      </w:r>
      <w:r w:rsidRPr="002F3BB0">
        <w:rPr>
          <w:i w:val="0"/>
          <w:sz w:val="22"/>
        </w:rPr>
        <w:t xml:space="preserve">workers can </w:t>
      </w:r>
      <w:r w:rsidR="00A8170D">
        <w:rPr>
          <w:i w:val="0"/>
          <w:sz w:val="22"/>
        </w:rPr>
        <w:t xml:space="preserve">safely </w:t>
      </w:r>
      <w:r w:rsidRPr="002F3BB0">
        <w:rPr>
          <w:i w:val="0"/>
          <w:sz w:val="22"/>
        </w:rPr>
        <w:t>do the job for which they were hired</w:t>
      </w:r>
      <w:r w:rsidR="00A8170D">
        <w:rPr>
          <w:i w:val="0"/>
          <w:sz w:val="22"/>
        </w:rPr>
        <w:t>.</w:t>
      </w:r>
      <w:r w:rsidRPr="002F3BB0">
        <w:rPr>
          <w:i w:val="0"/>
          <w:sz w:val="22"/>
        </w:rPr>
        <w:t xml:space="preserve"> The webinar was well attended and employers had many questions for the presenters. A record</w:t>
      </w:r>
      <w:r w:rsidR="00C33B05">
        <w:rPr>
          <w:i w:val="0"/>
          <w:sz w:val="22"/>
        </w:rPr>
        <w:t>ing</w:t>
      </w:r>
      <w:r w:rsidRPr="002F3BB0">
        <w:rPr>
          <w:i w:val="0"/>
          <w:sz w:val="22"/>
        </w:rPr>
        <w:t xml:space="preserve"> of the webinar </w:t>
      </w:r>
      <w:r w:rsidR="00C33B05">
        <w:rPr>
          <w:i w:val="0"/>
          <w:sz w:val="22"/>
        </w:rPr>
        <w:t>is</w:t>
      </w:r>
      <w:r w:rsidRPr="002F3BB0">
        <w:rPr>
          <w:i w:val="0"/>
          <w:sz w:val="22"/>
        </w:rPr>
        <w:t xml:space="preserve"> available through the websites </w:t>
      </w:r>
      <w:r w:rsidR="00A8170D">
        <w:rPr>
          <w:i w:val="0"/>
          <w:sz w:val="22"/>
        </w:rPr>
        <w:t>of both</w:t>
      </w:r>
      <w:r w:rsidRPr="002F3BB0">
        <w:rPr>
          <w:i w:val="0"/>
          <w:sz w:val="22"/>
        </w:rPr>
        <w:t xml:space="preserve"> the Commission and WorkCover</w:t>
      </w:r>
      <w:r w:rsidRPr="002F3BB0">
        <w:rPr>
          <w:color w:val="1F497D"/>
        </w:rPr>
        <w:t>.</w:t>
      </w:r>
    </w:p>
    <w:p w:rsidR="0053224F" w:rsidRPr="00666151" w:rsidRDefault="0053224F" w:rsidP="00BF30CC">
      <w:pPr>
        <w:pStyle w:val="Heading2"/>
        <w:rPr>
          <w:i/>
        </w:rPr>
      </w:pPr>
      <w:r w:rsidRPr="00666151">
        <w:t>ADCQ and Queensland Police Muslim youth forums</w:t>
      </w:r>
    </w:p>
    <w:p w:rsidR="009777DE" w:rsidRPr="002F3BB0" w:rsidRDefault="009777DE" w:rsidP="004553A5">
      <w:pPr>
        <w:spacing w:before="120" w:after="0" w:line="240" w:lineRule="auto"/>
        <w:rPr>
          <w:rFonts w:cstheme="minorHAnsi"/>
          <w:i w:val="0"/>
          <w:sz w:val="22"/>
          <w:szCs w:val="22"/>
        </w:rPr>
      </w:pPr>
      <w:r w:rsidRPr="002F3BB0">
        <w:rPr>
          <w:rFonts w:cstheme="minorHAnsi"/>
          <w:i w:val="0"/>
          <w:sz w:val="22"/>
          <w:szCs w:val="22"/>
        </w:rPr>
        <w:t xml:space="preserve">In 2013-14 the ADCQ, in partnership with </w:t>
      </w:r>
      <w:r w:rsidR="001D6A41">
        <w:rPr>
          <w:rFonts w:cstheme="minorHAnsi"/>
          <w:i w:val="0"/>
          <w:sz w:val="22"/>
          <w:szCs w:val="22"/>
        </w:rPr>
        <w:t xml:space="preserve">the </w:t>
      </w:r>
      <w:r w:rsidRPr="002F3BB0">
        <w:rPr>
          <w:rFonts w:cstheme="minorHAnsi"/>
          <w:i w:val="0"/>
          <w:sz w:val="22"/>
          <w:szCs w:val="22"/>
        </w:rPr>
        <w:t>Queensland Police Service (QPS)</w:t>
      </w:r>
      <w:r w:rsidR="001D6A41">
        <w:rPr>
          <w:rFonts w:cstheme="minorHAnsi"/>
          <w:i w:val="0"/>
          <w:sz w:val="22"/>
          <w:szCs w:val="22"/>
        </w:rPr>
        <w:t>,</w:t>
      </w:r>
      <w:r w:rsidRPr="002F3BB0">
        <w:rPr>
          <w:rFonts w:cstheme="minorHAnsi"/>
          <w:i w:val="0"/>
          <w:sz w:val="22"/>
          <w:szCs w:val="22"/>
        </w:rPr>
        <w:t xml:space="preserve"> hosted discussion forums for Muslim youth in South</w:t>
      </w:r>
      <w:r w:rsidR="001D6A41">
        <w:rPr>
          <w:rFonts w:cstheme="minorHAnsi"/>
          <w:i w:val="0"/>
          <w:sz w:val="22"/>
          <w:szCs w:val="22"/>
        </w:rPr>
        <w:t>-</w:t>
      </w:r>
      <w:r w:rsidRPr="002F3BB0">
        <w:rPr>
          <w:rFonts w:cstheme="minorHAnsi"/>
          <w:i w:val="0"/>
          <w:sz w:val="22"/>
          <w:szCs w:val="22"/>
        </w:rPr>
        <w:t xml:space="preserve">East Queensland. </w:t>
      </w:r>
      <w:r w:rsidR="001D6A41">
        <w:rPr>
          <w:rFonts w:cstheme="minorHAnsi"/>
          <w:i w:val="0"/>
          <w:sz w:val="22"/>
          <w:szCs w:val="22"/>
        </w:rPr>
        <w:t>Earlier consultations</w:t>
      </w:r>
      <w:r w:rsidRPr="002F3BB0">
        <w:rPr>
          <w:rFonts w:cstheme="minorHAnsi"/>
          <w:i w:val="0"/>
          <w:sz w:val="22"/>
          <w:szCs w:val="22"/>
        </w:rPr>
        <w:t xml:space="preserve"> with Muslim leaders identified that youth were in need of a forum where they could have their say on issues releva</w:t>
      </w:r>
      <w:r w:rsidR="009A4581">
        <w:rPr>
          <w:rFonts w:cstheme="minorHAnsi"/>
          <w:i w:val="0"/>
          <w:sz w:val="22"/>
          <w:szCs w:val="22"/>
        </w:rPr>
        <w:t>nt to them.</w:t>
      </w:r>
    </w:p>
    <w:p w:rsidR="009777DE" w:rsidRPr="002F3BB0" w:rsidRDefault="009777DE" w:rsidP="004553A5">
      <w:pPr>
        <w:spacing w:before="240" w:after="120" w:line="240" w:lineRule="auto"/>
        <w:rPr>
          <w:rFonts w:cstheme="minorHAnsi"/>
          <w:i w:val="0"/>
          <w:sz w:val="22"/>
          <w:szCs w:val="22"/>
        </w:rPr>
      </w:pPr>
      <w:r w:rsidRPr="002F3BB0">
        <w:rPr>
          <w:rFonts w:cstheme="minorHAnsi"/>
          <w:i w:val="0"/>
          <w:sz w:val="22"/>
          <w:szCs w:val="22"/>
        </w:rPr>
        <w:t>Th</w:t>
      </w:r>
      <w:r w:rsidR="009A4581">
        <w:rPr>
          <w:rFonts w:cstheme="minorHAnsi"/>
          <w:i w:val="0"/>
          <w:sz w:val="22"/>
          <w:szCs w:val="22"/>
        </w:rPr>
        <w:t>e purpose of the forums was to:</w:t>
      </w:r>
    </w:p>
    <w:p w:rsidR="009777DE" w:rsidRPr="004553A5" w:rsidRDefault="00C7099C" w:rsidP="004553A5">
      <w:pPr>
        <w:numPr>
          <w:ilvl w:val="0"/>
          <w:numId w:val="13"/>
        </w:numPr>
        <w:spacing w:before="120" w:after="0" w:line="240" w:lineRule="auto"/>
        <w:ind w:left="357" w:hanging="357"/>
        <w:rPr>
          <w:rFonts w:eastAsia="Times New Roman" w:cstheme="minorHAnsi"/>
          <w:i w:val="0"/>
          <w:sz w:val="22"/>
          <w:szCs w:val="22"/>
          <w:lang w:eastAsia="en-AU"/>
        </w:rPr>
      </w:pPr>
      <w:r w:rsidRPr="004553A5">
        <w:rPr>
          <w:rFonts w:eastAsia="Times New Roman" w:cstheme="minorHAnsi"/>
          <w:i w:val="0"/>
          <w:sz w:val="22"/>
          <w:szCs w:val="22"/>
          <w:lang w:eastAsia="en-AU"/>
        </w:rPr>
        <w:t>e</w:t>
      </w:r>
      <w:r w:rsidR="009777DE" w:rsidRPr="004553A5">
        <w:rPr>
          <w:rFonts w:eastAsia="Times New Roman" w:cstheme="minorHAnsi"/>
          <w:i w:val="0"/>
          <w:sz w:val="22"/>
          <w:szCs w:val="22"/>
          <w:lang w:eastAsia="en-AU"/>
        </w:rPr>
        <w:t>stablish dialogue</w:t>
      </w:r>
      <w:r w:rsidRPr="004553A5">
        <w:rPr>
          <w:rFonts w:eastAsia="Times New Roman" w:cstheme="minorHAnsi"/>
          <w:i w:val="0"/>
          <w:sz w:val="22"/>
          <w:szCs w:val="22"/>
          <w:lang w:eastAsia="en-AU"/>
        </w:rPr>
        <w:t>;</w:t>
      </w:r>
    </w:p>
    <w:p w:rsidR="009777DE" w:rsidRPr="004553A5" w:rsidRDefault="00C7099C" w:rsidP="004553A5">
      <w:pPr>
        <w:numPr>
          <w:ilvl w:val="0"/>
          <w:numId w:val="13"/>
        </w:numPr>
        <w:spacing w:before="120" w:after="0" w:line="240" w:lineRule="auto"/>
        <w:ind w:left="357" w:hanging="357"/>
        <w:rPr>
          <w:rFonts w:eastAsia="Times New Roman" w:cstheme="minorHAnsi"/>
          <w:i w:val="0"/>
          <w:sz w:val="22"/>
          <w:szCs w:val="22"/>
          <w:lang w:eastAsia="en-AU"/>
        </w:rPr>
      </w:pPr>
      <w:r w:rsidRPr="004553A5">
        <w:rPr>
          <w:rFonts w:eastAsia="Times New Roman" w:cstheme="minorHAnsi"/>
          <w:i w:val="0"/>
          <w:sz w:val="22"/>
          <w:szCs w:val="22"/>
          <w:lang w:eastAsia="en-AU"/>
        </w:rPr>
        <w:t>p</w:t>
      </w:r>
      <w:r w:rsidR="009777DE" w:rsidRPr="004553A5">
        <w:rPr>
          <w:rFonts w:eastAsia="Times New Roman" w:cstheme="minorHAnsi"/>
          <w:i w:val="0"/>
          <w:sz w:val="22"/>
          <w:szCs w:val="22"/>
          <w:lang w:eastAsia="en-AU"/>
        </w:rPr>
        <w:t xml:space="preserve">rovide an opportunity for Muslim youth to express </w:t>
      </w:r>
      <w:r w:rsidRPr="004553A5">
        <w:rPr>
          <w:rFonts w:eastAsia="Times New Roman" w:cstheme="minorHAnsi"/>
          <w:i w:val="0"/>
          <w:sz w:val="22"/>
          <w:szCs w:val="22"/>
          <w:lang w:eastAsia="en-AU"/>
        </w:rPr>
        <w:t xml:space="preserve">their </w:t>
      </w:r>
      <w:r w:rsidR="009777DE" w:rsidRPr="004553A5">
        <w:rPr>
          <w:rFonts w:eastAsia="Times New Roman" w:cstheme="minorHAnsi"/>
          <w:i w:val="0"/>
          <w:sz w:val="22"/>
          <w:szCs w:val="22"/>
          <w:lang w:eastAsia="en-AU"/>
        </w:rPr>
        <w:t xml:space="preserve">concerns </w:t>
      </w:r>
      <w:r w:rsidRPr="004553A5">
        <w:rPr>
          <w:rFonts w:eastAsia="Times New Roman" w:cstheme="minorHAnsi"/>
          <w:i w:val="0"/>
          <w:sz w:val="22"/>
          <w:szCs w:val="22"/>
          <w:lang w:eastAsia="en-AU"/>
        </w:rPr>
        <w:t xml:space="preserve">about police and policing, </w:t>
      </w:r>
      <w:r w:rsidR="009777DE" w:rsidRPr="004553A5">
        <w:rPr>
          <w:rFonts w:eastAsia="Times New Roman" w:cstheme="minorHAnsi"/>
          <w:i w:val="0"/>
          <w:sz w:val="22"/>
          <w:szCs w:val="22"/>
          <w:lang w:eastAsia="en-AU"/>
        </w:rPr>
        <w:t>and discrimination more broadly</w:t>
      </w:r>
      <w:r w:rsidRPr="004553A5">
        <w:rPr>
          <w:rFonts w:eastAsia="Times New Roman" w:cstheme="minorHAnsi"/>
          <w:i w:val="0"/>
          <w:sz w:val="22"/>
          <w:szCs w:val="22"/>
          <w:lang w:eastAsia="en-AU"/>
        </w:rPr>
        <w:t>,</w:t>
      </w:r>
      <w:r w:rsidR="009777DE" w:rsidRPr="004553A5">
        <w:rPr>
          <w:rFonts w:eastAsia="Times New Roman" w:cstheme="minorHAnsi"/>
          <w:i w:val="0"/>
          <w:sz w:val="22"/>
          <w:szCs w:val="22"/>
          <w:lang w:eastAsia="en-AU"/>
        </w:rPr>
        <w:t xml:space="preserve"> and discuss how to have issues addressed</w:t>
      </w:r>
      <w:r w:rsidRPr="004553A5">
        <w:rPr>
          <w:rFonts w:eastAsia="Times New Roman" w:cstheme="minorHAnsi"/>
          <w:i w:val="0"/>
          <w:sz w:val="22"/>
          <w:szCs w:val="22"/>
          <w:lang w:eastAsia="en-AU"/>
        </w:rPr>
        <w:t>;</w:t>
      </w:r>
      <w:r w:rsidR="009C47BF" w:rsidRPr="004553A5">
        <w:rPr>
          <w:rFonts w:eastAsia="Times New Roman" w:cstheme="minorHAnsi"/>
          <w:i w:val="0"/>
          <w:sz w:val="22"/>
          <w:szCs w:val="22"/>
          <w:lang w:eastAsia="en-AU"/>
        </w:rPr>
        <w:t xml:space="preserve"> and</w:t>
      </w:r>
    </w:p>
    <w:p w:rsidR="009777DE" w:rsidRPr="004553A5" w:rsidRDefault="00C7099C" w:rsidP="004553A5">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4553A5">
        <w:rPr>
          <w:rFonts w:eastAsia="Times New Roman" w:cstheme="minorHAnsi"/>
          <w:i w:val="0"/>
          <w:sz w:val="22"/>
          <w:szCs w:val="22"/>
          <w:lang w:eastAsia="en-AU"/>
        </w:rPr>
        <w:t>d</w:t>
      </w:r>
      <w:r w:rsidR="009777DE" w:rsidRPr="004553A5">
        <w:rPr>
          <w:rFonts w:eastAsia="Times New Roman" w:cstheme="minorHAnsi"/>
          <w:i w:val="0"/>
          <w:sz w:val="22"/>
          <w:szCs w:val="22"/>
          <w:lang w:eastAsia="en-AU"/>
        </w:rPr>
        <w:t>evelop</w:t>
      </w:r>
      <w:proofErr w:type="gramEnd"/>
      <w:r w:rsidR="009777DE" w:rsidRPr="004553A5">
        <w:rPr>
          <w:rFonts w:eastAsia="Times New Roman" w:cstheme="minorHAnsi"/>
          <w:i w:val="0"/>
          <w:sz w:val="22"/>
          <w:szCs w:val="22"/>
          <w:lang w:eastAsia="en-AU"/>
        </w:rPr>
        <w:t xml:space="preserve"> trust and engagement between Muslim youth and </w:t>
      </w:r>
      <w:r w:rsidR="009A4581" w:rsidRPr="004553A5">
        <w:rPr>
          <w:rFonts w:eastAsia="Times New Roman" w:cstheme="minorHAnsi"/>
          <w:i w:val="0"/>
          <w:sz w:val="22"/>
          <w:szCs w:val="22"/>
          <w:lang w:eastAsia="en-AU"/>
        </w:rPr>
        <w:t>senior members of QPS and ADCQ.</w:t>
      </w:r>
    </w:p>
    <w:p w:rsidR="0018390D" w:rsidRPr="002F3BB0" w:rsidRDefault="009777DE" w:rsidP="004553A5">
      <w:pPr>
        <w:spacing w:before="240" w:after="0" w:line="240" w:lineRule="auto"/>
        <w:rPr>
          <w:rFonts w:cstheme="minorHAnsi"/>
          <w:i w:val="0"/>
          <w:sz w:val="22"/>
          <w:szCs w:val="22"/>
        </w:rPr>
      </w:pPr>
      <w:r w:rsidRPr="002F3BB0">
        <w:rPr>
          <w:rFonts w:cstheme="minorHAnsi"/>
          <w:i w:val="0"/>
          <w:sz w:val="22"/>
          <w:szCs w:val="22"/>
        </w:rPr>
        <w:t xml:space="preserve">Two forums were held </w:t>
      </w:r>
      <w:r w:rsidR="00C7099C">
        <w:rPr>
          <w:rFonts w:cstheme="minorHAnsi"/>
          <w:i w:val="0"/>
          <w:sz w:val="22"/>
          <w:szCs w:val="22"/>
        </w:rPr>
        <w:t xml:space="preserve">during </w:t>
      </w:r>
      <w:r w:rsidRPr="002F3BB0">
        <w:rPr>
          <w:rFonts w:cstheme="minorHAnsi"/>
          <w:i w:val="0"/>
          <w:sz w:val="22"/>
          <w:szCs w:val="22"/>
        </w:rPr>
        <w:t>the year, with the second forum also being attended by a representative of the Aus</w:t>
      </w:r>
      <w:r w:rsidR="009A4581">
        <w:rPr>
          <w:rFonts w:cstheme="minorHAnsi"/>
          <w:i w:val="0"/>
          <w:sz w:val="22"/>
          <w:szCs w:val="22"/>
        </w:rPr>
        <w:t>tralian Federal Police Service.</w:t>
      </w:r>
    </w:p>
    <w:p w:rsidR="0021773F" w:rsidRPr="002F3BB0" w:rsidRDefault="008201CD" w:rsidP="00BF30CC">
      <w:pPr>
        <w:pStyle w:val="Heading2"/>
        <w:rPr>
          <w:i/>
        </w:rPr>
      </w:pPr>
      <w:r w:rsidRPr="002F3BB0">
        <w:t>P</w:t>
      </w:r>
      <w:r w:rsidR="0021773F" w:rsidRPr="002F3BB0">
        <w:t>lay by the Rules</w:t>
      </w:r>
    </w:p>
    <w:p w:rsidR="00CF5B7A" w:rsidRPr="002F3BB0" w:rsidRDefault="0021773F" w:rsidP="001D1C78">
      <w:pPr>
        <w:spacing w:before="120" w:after="0" w:line="240" w:lineRule="auto"/>
        <w:rPr>
          <w:rFonts w:cstheme="minorHAnsi"/>
          <w:i w:val="0"/>
          <w:sz w:val="22"/>
          <w:szCs w:val="22"/>
        </w:rPr>
      </w:pPr>
      <w:r w:rsidRPr="002F3BB0">
        <w:rPr>
          <w:rFonts w:cstheme="minorHAnsi"/>
          <w:sz w:val="22"/>
          <w:szCs w:val="22"/>
        </w:rPr>
        <w:t>Play by the Rules</w:t>
      </w:r>
      <w:r w:rsidRPr="002F3BB0">
        <w:rPr>
          <w:rFonts w:cstheme="minorHAnsi"/>
          <w:i w:val="0"/>
          <w:sz w:val="22"/>
          <w:szCs w:val="22"/>
        </w:rPr>
        <w:t xml:space="preserve"> is a national program that provides free information, resources, online training and promotional campaigns </w:t>
      </w:r>
      <w:r w:rsidR="00B24249">
        <w:rPr>
          <w:rFonts w:cstheme="minorHAnsi"/>
          <w:i w:val="0"/>
          <w:sz w:val="22"/>
          <w:szCs w:val="22"/>
        </w:rPr>
        <w:t>to</w:t>
      </w:r>
      <w:r w:rsidRPr="002F3BB0">
        <w:rPr>
          <w:rFonts w:cstheme="minorHAnsi"/>
          <w:i w:val="0"/>
          <w:sz w:val="22"/>
          <w:szCs w:val="22"/>
        </w:rPr>
        <w:t xml:space="preserve"> encourag</w:t>
      </w:r>
      <w:r w:rsidR="00B24249">
        <w:rPr>
          <w:rFonts w:cstheme="minorHAnsi"/>
          <w:i w:val="0"/>
          <w:sz w:val="22"/>
          <w:szCs w:val="22"/>
        </w:rPr>
        <w:t>e</w:t>
      </w:r>
      <w:r w:rsidRPr="002F3BB0">
        <w:rPr>
          <w:rFonts w:cstheme="minorHAnsi"/>
          <w:i w:val="0"/>
          <w:sz w:val="22"/>
          <w:szCs w:val="22"/>
        </w:rPr>
        <w:t xml:space="preserve"> participation in sport and recreation activities without discrimination, harassment or bullying. The ADCQ is a partner in this program which also involves other human rights organisations and government sport and recreation departments. ADCQ is a member of the national reference group as well as a local advocate for the program’s vision of a safe, fair and inclusive environment in sport and rec</w:t>
      </w:r>
      <w:r w:rsidR="009A4581">
        <w:rPr>
          <w:rFonts w:cstheme="minorHAnsi"/>
          <w:i w:val="0"/>
          <w:sz w:val="22"/>
          <w:szCs w:val="22"/>
        </w:rPr>
        <w:t>reation.</w:t>
      </w:r>
    </w:p>
    <w:p w:rsidR="001D1C78" w:rsidRPr="004C2DED" w:rsidRDefault="0021773F" w:rsidP="004C2DED">
      <w:pPr>
        <w:spacing w:before="240" w:after="0" w:line="240" w:lineRule="auto"/>
        <w:rPr>
          <w:rFonts w:cstheme="minorHAnsi"/>
          <w:sz w:val="22"/>
          <w:szCs w:val="22"/>
        </w:rPr>
      </w:pPr>
      <w:r w:rsidRPr="002F3BB0">
        <w:rPr>
          <w:rFonts w:cstheme="minorHAnsi"/>
          <w:i w:val="0"/>
          <w:sz w:val="22"/>
          <w:szCs w:val="22"/>
        </w:rPr>
        <w:t>During 201</w:t>
      </w:r>
      <w:r w:rsidR="00CF5B7A" w:rsidRPr="002F3BB0">
        <w:rPr>
          <w:rFonts w:cstheme="minorHAnsi"/>
          <w:i w:val="0"/>
          <w:sz w:val="22"/>
          <w:szCs w:val="22"/>
        </w:rPr>
        <w:t>3</w:t>
      </w:r>
      <w:r w:rsidRPr="002F3BB0">
        <w:rPr>
          <w:rFonts w:cstheme="minorHAnsi"/>
          <w:i w:val="0"/>
          <w:sz w:val="22"/>
          <w:szCs w:val="22"/>
        </w:rPr>
        <w:t>-1</w:t>
      </w:r>
      <w:r w:rsidR="00CF5B7A" w:rsidRPr="002F3BB0">
        <w:rPr>
          <w:rFonts w:cstheme="minorHAnsi"/>
          <w:i w:val="0"/>
          <w:sz w:val="22"/>
          <w:szCs w:val="22"/>
        </w:rPr>
        <w:t>4</w:t>
      </w:r>
      <w:r w:rsidRPr="002F3BB0">
        <w:rPr>
          <w:rFonts w:cstheme="minorHAnsi"/>
          <w:i w:val="0"/>
          <w:sz w:val="22"/>
          <w:szCs w:val="22"/>
        </w:rPr>
        <w:t xml:space="preserve">, </w:t>
      </w:r>
      <w:r w:rsidR="00CF5B7A" w:rsidRPr="002F3BB0">
        <w:rPr>
          <w:rFonts w:cstheme="minorHAnsi"/>
          <w:i w:val="0"/>
          <w:sz w:val="22"/>
          <w:szCs w:val="22"/>
        </w:rPr>
        <w:t>the ADCQ</w:t>
      </w:r>
      <w:r w:rsidRPr="002F3BB0">
        <w:rPr>
          <w:rFonts w:cstheme="minorHAnsi"/>
          <w:i w:val="0"/>
          <w:sz w:val="22"/>
          <w:szCs w:val="22"/>
        </w:rPr>
        <w:t xml:space="preserve"> </w:t>
      </w:r>
      <w:r w:rsidR="00B24249">
        <w:rPr>
          <w:rFonts w:cstheme="minorHAnsi"/>
          <w:i w:val="0"/>
          <w:sz w:val="22"/>
          <w:szCs w:val="22"/>
        </w:rPr>
        <w:t>distributed</w:t>
      </w:r>
      <w:r w:rsidR="00B24249" w:rsidRPr="002F3BB0">
        <w:rPr>
          <w:rFonts w:cstheme="minorHAnsi"/>
          <w:i w:val="0"/>
          <w:sz w:val="22"/>
          <w:szCs w:val="22"/>
        </w:rPr>
        <w:t xml:space="preserve"> </w:t>
      </w:r>
      <w:r w:rsidRPr="00C37B3D">
        <w:rPr>
          <w:rFonts w:cstheme="minorHAnsi"/>
          <w:sz w:val="22"/>
          <w:szCs w:val="22"/>
        </w:rPr>
        <w:t>Play by the Rules</w:t>
      </w:r>
      <w:r w:rsidRPr="002F3BB0">
        <w:rPr>
          <w:rFonts w:cstheme="minorHAnsi"/>
          <w:i w:val="0"/>
          <w:sz w:val="22"/>
          <w:szCs w:val="22"/>
        </w:rPr>
        <w:t xml:space="preserve"> promotional materials to sporting clubs and community members, </w:t>
      </w:r>
      <w:r w:rsidR="002E1A1E" w:rsidRPr="002F3BB0">
        <w:rPr>
          <w:rFonts w:cstheme="minorHAnsi"/>
          <w:i w:val="0"/>
          <w:sz w:val="22"/>
          <w:szCs w:val="22"/>
        </w:rPr>
        <w:t xml:space="preserve">and </w:t>
      </w:r>
      <w:r w:rsidRPr="002F3BB0">
        <w:rPr>
          <w:rFonts w:cstheme="minorHAnsi"/>
          <w:i w:val="0"/>
          <w:sz w:val="22"/>
          <w:szCs w:val="22"/>
        </w:rPr>
        <w:t xml:space="preserve">referred sporting groups </w:t>
      </w:r>
      <w:r w:rsidR="002E1A1E" w:rsidRPr="002F3BB0">
        <w:rPr>
          <w:rFonts w:cstheme="minorHAnsi"/>
          <w:i w:val="0"/>
          <w:sz w:val="22"/>
          <w:szCs w:val="22"/>
        </w:rPr>
        <w:t xml:space="preserve">and organisations </w:t>
      </w:r>
      <w:r w:rsidRPr="002F3BB0">
        <w:rPr>
          <w:rFonts w:cstheme="minorHAnsi"/>
          <w:i w:val="0"/>
          <w:sz w:val="22"/>
          <w:szCs w:val="22"/>
        </w:rPr>
        <w:t>to resources available on the Play by the Rules website</w:t>
      </w:r>
      <w:r w:rsidR="002E1A1E" w:rsidRPr="002F3BB0">
        <w:rPr>
          <w:rFonts w:cstheme="minorHAnsi"/>
          <w:i w:val="0"/>
          <w:sz w:val="22"/>
          <w:szCs w:val="22"/>
        </w:rPr>
        <w:t xml:space="preserve"> </w:t>
      </w:r>
      <w:r w:rsidRPr="002F3BB0">
        <w:rPr>
          <w:rFonts w:cstheme="minorHAnsi"/>
          <w:i w:val="0"/>
          <w:sz w:val="22"/>
          <w:szCs w:val="22"/>
        </w:rPr>
        <w:t xml:space="preserve">as part of the ongoing commitment to this partnership. </w:t>
      </w:r>
      <w:r w:rsidR="002E1A1E" w:rsidRPr="002F3BB0">
        <w:rPr>
          <w:rFonts w:cstheme="minorHAnsi"/>
          <w:i w:val="0"/>
          <w:sz w:val="22"/>
          <w:szCs w:val="22"/>
        </w:rPr>
        <w:t xml:space="preserve">Additionally, the </w:t>
      </w:r>
      <w:r w:rsidR="002E1A1E" w:rsidRPr="002F3BB0">
        <w:rPr>
          <w:rFonts w:cstheme="minorHAnsi"/>
          <w:i w:val="0"/>
          <w:sz w:val="22"/>
          <w:szCs w:val="22"/>
        </w:rPr>
        <w:lastRenderedPageBreak/>
        <w:t xml:space="preserve">ADCQ and </w:t>
      </w:r>
      <w:r w:rsidR="002E1A1E" w:rsidRPr="00C37B3D">
        <w:rPr>
          <w:rFonts w:cstheme="minorHAnsi"/>
          <w:sz w:val="22"/>
          <w:szCs w:val="22"/>
        </w:rPr>
        <w:t>Play by the Rules</w:t>
      </w:r>
      <w:r w:rsidR="002E1A1E" w:rsidRPr="002F3BB0">
        <w:rPr>
          <w:rFonts w:cstheme="minorHAnsi"/>
          <w:i w:val="0"/>
          <w:sz w:val="22"/>
          <w:szCs w:val="22"/>
        </w:rPr>
        <w:t xml:space="preserve"> co-sponsored an anti-racism and reconciliation initiative </w:t>
      </w:r>
      <w:r w:rsidR="00B24249">
        <w:rPr>
          <w:rFonts w:cstheme="minorHAnsi"/>
          <w:i w:val="0"/>
          <w:sz w:val="22"/>
          <w:szCs w:val="22"/>
        </w:rPr>
        <w:t>of</w:t>
      </w:r>
      <w:r w:rsidR="002E1A1E" w:rsidRPr="002F3BB0">
        <w:rPr>
          <w:rFonts w:cstheme="minorHAnsi"/>
          <w:i w:val="0"/>
          <w:sz w:val="22"/>
          <w:szCs w:val="22"/>
        </w:rPr>
        <w:t xml:space="preserve"> a local AFL club in Townsville. The initiative involved a competition for students of a predominantly </w:t>
      </w:r>
      <w:proofErr w:type="gramStart"/>
      <w:r w:rsidR="002E1A1E" w:rsidRPr="002F3BB0">
        <w:rPr>
          <w:rFonts w:cstheme="minorHAnsi"/>
          <w:i w:val="0"/>
          <w:sz w:val="22"/>
          <w:szCs w:val="22"/>
        </w:rPr>
        <w:t>Indigenous</w:t>
      </w:r>
      <w:proofErr w:type="gramEnd"/>
      <w:r w:rsidR="002E1A1E" w:rsidRPr="002F3BB0">
        <w:rPr>
          <w:rFonts w:cstheme="minorHAnsi"/>
          <w:i w:val="0"/>
          <w:sz w:val="22"/>
          <w:szCs w:val="22"/>
        </w:rPr>
        <w:t xml:space="preserve"> school to design a </w:t>
      </w:r>
      <w:proofErr w:type="spellStart"/>
      <w:r w:rsidR="002E1A1E" w:rsidRPr="002F3BB0">
        <w:rPr>
          <w:rFonts w:cstheme="minorHAnsi"/>
          <w:i w:val="0"/>
          <w:sz w:val="22"/>
          <w:szCs w:val="22"/>
        </w:rPr>
        <w:t>guernsey</w:t>
      </w:r>
      <w:proofErr w:type="spellEnd"/>
      <w:r w:rsidR="002E1A1E" w:rsidRPr="002F3BB0">
        <w:rPr>
          <w:rFonts w:cstheme="minorHAnsi"/>
          <w:i w:val="0"/>
          <w:sz w:val="22"/>
          <w:szCs w:val="22"/>
        </w:rPr>
        <w:t xml:space="preserve"> for the University Hawks Townsville AFL team to wear in the Indigenous round competition.</w:t>
      </w:r>
    </w:p>
    <w:p w:rsidR="00281685" w:rsidRPr="001D1C78" w:rsidRDefault="00281685" w:rsidP="00BF30CC">
      <w:pPr>
        <w:pStyle w:val="Heading2"/>
        <w:rPr>
          <w:i/>
        </w:rPr>
      </w:pPr>
      <w:r w:rsidRPr="001D1C78">
        <w:t>Queensland Language Service Policy Review</w:t>
      </w:r>
    </w:p>
    <w:p w:rsidR="00281685" w:rsidRPr="002F3BB0" w:rsidRDefault="00281685" w:rsidP="001D1C78">
      <w:pPr>
        <w:spacing w:before="120" w:after="0" w:line="240" w:lineRule="auto"/>
        <w:rPr>
          <w:i w:val="0"/>
          <w:sz w:val="22"/>
        </w:rPr>
      </w:pPr>
      <w:r w:rsidRPr="002F3BB0">
        <w:rPr>
          <w:i w:val="0"/>
          <w:sz w:val="22"/>
        </w:rPr>
        <w:t xml:space="preserve">Cultural Diversity Queensland undertook a review earlier this year of the Queensland Language Services Policy (QLSP).  The Commission was involved in the review of the QLSP, and our guidance was sought on how </w:t>
      </w:r>
      <w:r w:rsidR="00CF2782">
        <w:rPr>
          <w:i w:val="0"/>
          <w:sz w:val="22"/>
        </w:rPr>
        <w:t>anti-</w:t>
      </w:r>
      <w:r w:rsidRPr="002F3BB0">
        <w:rPr>
          <w:i w:val="0"/>
          <w:sz w:val="22"/>
        </w:rPr>
        <w:t xml:space="preserve">discrimination law in Queensland impacts on </w:t>
      </w:r>
      <w:r w:rsidR="00CF2782">
        <w:rPr>
          <w:i w:val="0"/>
          <w:sz w:val="22"/>
        </w:rPr>
        <w:t xml:space="preserve">the </w:t>
      </w:r>
      <w:r w:rsidRPr="002F3BB0">
        <w:rPr>
          <w:i w:val="0"/>
          <w:sz w:val="22"/>
        </w:rPr>
        <w:t>provision of interpreters.  Our recommendations were incorporated into the new policy.  This included confirmation that failure to provide an interpreter may amount to unlawful discrimination on the basis of race, and refers to both direct and indirect discrimination.  The QLSP names the Commission as the first point of contact for any complaints regarding failure to provide an interpreter by a government agency.  The Commission engag</w:t>
      </w:r>
      <w:r w:rsidR="00CF2782">
        <w:rPr>
          <w:i w:val="0"/>
          <w:sz w:val="22"/>
        </w:rPr>
        <w:t>es</w:t>
      </w:r>
      <w:r w:rsidRPr="002F3BB0">
        <w:rPr>
          <w:i w:val="0"/>
          <w:sz w:val="22"/>
        </w:rPr>
        <w:t xml:space="preserve"> interpreters where requested or required, </w:t>
      </w:r>
      <w:r w:rsidR="00CF2782">
        <w:rPr>
          <w:i w:val="0"/>
          <w:sz w:val="22"/>
        </w:rPr>
        <w:t xml:space="preserve">and this </w:t>
      </w:r>
      <w:r w:rsidRPr="002F3BB0">
        <w:rPr>
          <w:i w:val="0"/>
          <w:sz w:val="22"/>
        </w:rPr>
        <w:t>is consistent with the QLSP.</w:t>
      </w:r>
    </w:p>
    <w:p w:rsidR="008D2339" w:rsidRPr="002F3BB0" w:rsidRDefault="008D2339" w:rsidP="00BF30CC">
      <w:pPr>
        <w:pStyle w:val="Heading2"/>
        <w:rPr>
          <w:i/>
        </w:rPr>
      </w:pPr>
      <w:r w:rsidRPr="002F3BB0">
        <w:t>Police Ethnic Advisory Group (PEAG)</w:t>
      </w:r>
    </w:p>
    <w:p w:rsidR="008D2339" w:rsidRPr="002F3BB0" w:rsidRDefault="008D2339" w:rsidP="001D1C78">
      <w:pPr>
        <w:autoSpaceDE w:val="0"/>
        <w:autoSpaceDN w:val="0"/>
        <w:adjustRightInd w:val="0"/>
        <w:spacing w:before="120" w:after="0" w:line="240" w:lineRule="auto"/>
        <w:rPr>
          <w:rFonts w:cstheme="minorHAnsi"/>
          <w:i w:val="0"/>
          <w:color w:val="000000"/>
          <w:sz w:val="22"/>
          <w:szCs w:val="22"/>
          <w:lang w:val="en-GB"/>
        </w:rPr>
      </w:pPr>
      <w:r w:rsidRPr="002F3BB0">
        <w:rPr>
          <w:rFonts w:cstheme="minorHAnsi"/>
          <w:i w:val="0"/>
          <w:color w:val="000000"/>
          <w:sz w:val="22"/>
          <w:szCs w:val="22"/>
          <w:lang w:val="en-GB"/>
        </w:rPr>
        <w:t xml:space="preserve">PEAG is an advisory body to the Queensland Police Service on issues relating to cultural diversity. The group contributes to the promotion and maintenance of harmonious relations between Queensland </w:t>
      </w:r>
      <w:r w:rsidR="000C528D">
        <w:rPr>
          <w:rFonts w:cstheme="minorHAnsi"/>
          <w:i w:val="0"/>
          <w:color w:val="000000"/>
          <w:sz w:val="22"/>
          <w:szCs w:val="22"/>
          <w:lang w:val="en-GB"/>
        </w:rPr>
        <w:t>p</w:t>
      </w:r>
      <w:r w:rsidRPr="002F3BB0">
        <w:rPr>
          <w:rFonts w:cstheme="minorHAnsi"/>
          <w:i w:val="0"/>
          <w:color w:val="000000"/>
          <w:sz w:val="22"/>
          <w:szCs w:val="22"/>
          <w:lang w:val="en-GB"/>
        </w:rPr>
        <w:t xml:space="preserve">olice and ethnic communities. The ADCQ </w:t>
      </w:r>
      <w:r w:rsidR="008D6689">
        <w:rPr>
          <w:rFonts w:cstheme="minorHAnsi"/>
          <w:i w:val="0"/>
          <w:color w:val="000000"/>
          <w:sz w:val="22"/>
          <w:szCs w:val="22"/>
          <w:lang w:val="en-GB"/>
        </w:rPr>
        <w:t>contributes</w:t>
      </w:r>
      <w:r w:rsidRPr="002F3BB0">
        <w:rPr>
          <w:rFonts w:cstheme="minorHAnsi"/>
          <w:i w:val="0"/>
          <w:color w:val="000000"/>
          <w:sz w:val="22"/>
          <w:szCs w:val="22"/>
          <w:lang w:val="en-GB"/>
        </w:rPr>
        <w:t xml:space="preserve"> on matters that fall within its jurisdiction </w:t>
      </w:r>
      <w:r w:rsidR="008D6689">
        <w:rPr>
          <w:rFonts w:cstheme="minorHAnsi"/>
          <w:i w:val="0"/>
          <w:color w:val="000000"/>
          <w:sz w:val="22"/>
          <w:szCs w:val="22"/>
          <w:lang w:val="en-GB"/>
        </w:rPr>
        <w:t>under</w:t>
      </w:r>
      <w:r w:rsidRPr="002F3BB0">
        <w:rPr>
          <w:rFonts w:cstheme="minorHAnsi"/>
          <w:i w:val="0"/>
          <w:color w:val="000000"/>
          <w:sz w:val="22"/>
          <w:szCs w:val="22"/>
          <w:lang w:val="en-GB"/>
        </w:rPr>
        <w:t xml:space="preserve"> the </w:t>
      </w:r>
      <w:r w:rsidRPr="002F3BB0">
        <w:rPr>
          <w:rFonts w:cstheme="minorHAnsi"/>
          <w:color w:val="000000"/>
          <w:sz w:val="22"/>
          <w:szCs w:val="22"/>
          <w:lang w:val="en-GB"/>
        </w:rPr>
        <w:t>Anti-Discrimination Act 1991</w:t>
      </w:r>
      <w:r w:rsidR="009A4581">
        <w:rPr>
          <w:rFonts w:cstheme="minorHAnsi"/>
          <w:i w:val="0"/>
          <w:color w:val="000000"/>
          <w:sz w:val="22"/>
          <w:szCs w:val="22"/>
          <w:lang w:val="en-GB"/>
        </w:rPr>
        <w:t>.</w:t>
      </w:r>
    </w:p>
    <w:p w:rsidR="0021773F" w:rsidRPr="002F3BB0" w:rsidRDefault="0021773F" w:rsidP="00BF30CC">
      <w:pPr>
        <w:pStyle w:val="Heading2"/>
        <w:rPr>
          <w:rFonts w:cstheme="minorHAnsi"/>
          <w:b w:val="0"/>
          <w:i/>
        </w:rPr>
      </w:pPr>
      <w:r w:rsidRPr="00BF30CC">
        <w:t>Community</w:t>
      </w:r>
      <w:r w:rsidRPr="002F3BB0">
        <w:rPr>
          <w:rFonts w:cstheme="minorHAnsi"/>
        </w:rPr>
        <w:t xml:space="preserve"> Legal Education Legal Assistance Forum</w:t>
      </w:r>
    </w:p>
    <w:p w:rsidR="0021773F" w:rsidRPr="002F3BB0" w:rsidRDefault="0021773F" w:rsidP="00831DF6">
      <w:pPr>
        <w:spacing w:before="120" w:after="0" w:line="240" w:lineRule="auto"/>
        <w:rPr>
          <w:rFonts w:cstheme="minorHAnsi"/>
          <w:i w:val="0"/>
          <w:color w:val="000000"/>
          <w:sz w:val="22"/>
          <w:szCs w:val="22"/>
          <w:lang w:val="en-GB"/>
        </w:rPr>
      </w:pPr>
      <w:bookmarkStart w:id="18" w:name="_Toc366487301"/>
      <w:r w:rsidRPr="002F3BB0">
        <w:rPr>
          <w:rFonts w:cstheme="minorHAnsi"/>
          <w:i w:val="0"/>
          <w:color w:val="000000"/>
          <w:sz w:val="22"/>
          <w:szCs w:val="22"/>
          <w:lang w:val="en-GB"/>
        </w:rPr>
        <w:t xml:space="preserve">The Community Legal Education Legal Assistance </w:t>
      </w:r>
      <w:r w:rsidR="00DC654C" w:rsidRPr="002F3BB0">
        <w:rPr>
          <w:rFonts w:cstheme="minorHAnsi"/>
          <w:i w:val="0"/>
          <w:color w:val="000000"/>
          <w:sz w:val="22"/>
          <w:szCs w:val="22"/>
          <w:lang w:val="en-GB"/>
        </w:rPr>
        <w:t>Forum (</w:t>
      </w:r>
      <w:r w:rsidRPr="002F3BB0">
        <w:rPr>
          <w:rFonts w:cstheme="minorHAnsi"/>
          <w:i w:val="0"/>
          <w:color w:val="000000"/>
          <w:sz w:val="22"/>
          <w:szCs w:val="22"/>
          <w:lang w:val="en-GB"/>
        </w:rPr>
        <w:t>CLELAF) is a specialist forum of the Queensland Legal Assistance Forum (QLAF).  The objectives of this network are to:</w:t>
      </w:r>
      <w:bookmarkEnd w:id="18"/>
    </w:p>
    <w:p w:rsidR="0021773F" w:rsidRPr="002F3BB0" w:rsidRDefault="0021773F" w:rsidP="00831DF6">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promote cooperation and collaboration between legal service providers who deliver and initiat</w:t>
      </w:r>
      <w:r w:rsidR="00065025">
        <w:rPr>
          <w:rFonts w:eastAsia="Times New Roman" w:cstheme="minorHAnsi"/>
          <w:i w:val="0"/>
          <w:sz w:val="22"/>
          <w:szCs w:val="22"/>
          <w:lang w:eastAsia="en-AU"/>
        </w:rPr>
        <w:t>e</w:t>
      </w:r>
      <w:r w:rsidRPr="002F3BB0">
        <w:rPr>
          <w:rFonts w:eastAsia="Times New Roman" w:cstheme="minorHAnsi"/>
          <w:i w:val="0"/>
          <w:sz w:val="22"/>
          <w:szCs w:val="22"/>
          <w:lang w:eastAsia="en-AU"/>
        </w:rPr>
        <w:t xml:space="preserve"> community legal education activities</w:t>
      </w:r>
      <w:r w:rsidR="00065025">
        <w:rPr>
          <w:rFonts w:eastAsia="Times New Roman" w:cstheme="minorHAnsi"/>
          <w:i w:val="0"/>
          <w:sz w:val="22"/>
          <w:szCs w:val="22"/>
          <w:lang w:eastAsia="en-AU"/>
        </w:rPr>
        <w:t>;</w:t>
      </w:r>
    </w:p>
    <w:p w:rsidR="0021773F" w:rsidRPr="002F3BB0" w:rsidRDefault="0021773F" w:rsidP="00831DF6">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disseminate community legal education information and resources – promoting communication and peer support between CLE workers to enhance the ability of service providers to deliver good practice Community Legal Education</w:t>
      </w:r>
      <w:r w:rsidR="00065025">
        <w:rPr>
          <w:rFonts w:eastAsia="Times New Roman" w:cstheme="minorHAnsi"/>
          <w:i w:val="0"/>
          <w:sz w:val="22"/>
          <w:szCs w:val="22"/>
          <w:lang w:eastAsia="en-AU"/>
        </w:rPr>
        <w:t>;</w:t>
      </w:r>
      <w:r w:rsidR="009C47BF">
        <w:rPr>
          <w:rFonts w:eastAsia="Times New Roman" w:cstheme="minorHAnsi"/>
          <w:i w:val="0"/>
          <w:sz w:val="22"/>
          <w:szCs w:val="22"/>
          <w:lang w:eastAsia="en-AU"/>
        </w:rPr>
        <w:t xml:space="preserve"> and</w:t>
      </w:r>
    </w:p>
    <w:p w:rsidR="0053224F" w:rsidRPr="009A4581" w:rsidRDefault="0021773F" w:rsidP="00831DF6">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9A4581">
        <w:rPr>
          <w:rFonts w:eastAsia="Times New Roman" w:cstheme="minorHAnsi"/>
          <w:i w:val="0"/>
          <w:sz w:val="22"/>
          <w:szCs w:val="22"/>
          <w:lang w:eastAsia="en-AU"/>
        </w:rPr>
        <w:t>keep</w:t>
      </w:r>
      <w:proofErr w:type="gramEnd"/>
      <w:r w:rsidRPr="009A4581">
        <w:rPr>
          <w:rFonts w:eastAsia="Times New Roman" w:cstheme="minorHAnsi"/>
          <w:i w:val="0"/>
          <w:sz w:val="22"/>
          <w:szCs w:val="22"/>
          <w:lang w:eastAsia="en-AU"/>
        </w:rPr>
        <w:t xml:space="preserve"> the Queensland Legal Assistance Forum (QLAF) informed so that appropriate representations are made to governments and other organisations on policy issues relevant to community legal education and access to justice for people at risk of social exclusion.</w:t>
      </w:r>
    </w:p>
    <w:p w:rsidR="0021773F" w:rsidRPr="002F3BB0" w:rsidRDefault="0021773F" w:rsidP="00831DF6">
      <w:pPr>
        <w:spacing w:before="240" w:after="0" w:line="240" w:lineRule="auto"/>
        <w:ind w:left="357" w:hanging="357"/>
        <w:rPr>
          <w:rFonts w:eastAsia="Times New Roman" w:cstheme="minorHAnsi"/>
          <w:i w:val="0"/>
          <w:sz w:val="22"/>
          <w:szCs w:val="22"/>
          <w:lang w:val="en" w:eastAsia="en-AU"/>
        </w:rPr>
      </w:pPr>
      <w:r w:rsidRPr="002F3BB0">
        <w:rPr>
          <w:rFonts w:eastAsia="Times New Roman" w:cstheme="minorHAnsi"/>
          <w:i w:val="0"/>
          <w:sz w:val="22"/>
          <w:szCs w:val="22"/>
          <w:lang w:val="en" w:eastAsia="en-AU"/>
        </w:rPr>
        <w:t>The ADCQ participates in this forum in its capacity as a provide</w:t>
      </w:r>
      <w:r w:rsidR="009A4581">
        <w:rPr>
          <w:rFonts w:eastAsia="Times New Roman" w:cstheme="minorHAnsi"/>
          <w:i w:val="0"/>
          <w:sz w:val="22"/>
          <w:szCs w:val="22"/>
          <w:lang w:val="en" w:eastAsia="en-AU"/>
        </w:rPr>
        <w:t>r of community legal education.</w:t>
      </w:r>
    </w:p>
    <w:p w:rsidR="00AA23AF" w:rsidRPr="002F3BB0" w:rsidRDefault="00AA23AF" w:rsidP="00BF30CC">
      <w:pPr>
        <w:pStyle w:val="Heading2"/>
        <w:rPr>
          <w:rFonts w:cstheme="minorHAnsi"/>
          <w:b w:val="0"/>
          <w:i/>
        </w:rPr>
      </w:pPr>
      <w:r w:rsidRPr="00BF30CC">
        <w:t>Queensland</w:t>
      </w:r>
      <w:r w:rsidRPr="002F3BB0">
        <w:rPr>
          <w:rFonts w:cstheme="minorHAnsi"/>
        </w:rPr>
        <w:t xml:space="preserve"> Studies Authority Equity Committee</w:t>
      </w:r>
    </w:p>
    <w:p w:rsidR="00A20CD6" w:rsidRPr="002F3BB0" w:rsidRDefault="00A20CD6" w:rsidP="00831DF6">
      <w:pPr>
        <w:spacing w:before="120" w:after="0" w:line="240" w:lineRule="auto"/>
      </w:pPr>
      <w:r w:rsidRPr="002F3BB0">
        <w:rPr>
          <w:rFonts w:cstheme="minorHAnsi"/>
          <w:i w:val="0"/>
          <w:color w:val="000000"/>
          <w:sz w:val="22"/>
          <w:szCs w:val="22"/>
        </w:rPr>
        <w:t>The ADCQ wa</w:t>
      </w:r>
      <w:r w:rsidR="00AA23AF" w:rsidRPr="002F3BB0">
        <w:rPr>
          <w:rFonts w:cstheme="minorHAnsi"/>
          <w:i w:val="0"/>
          <w:color w:val="000000"/>
          <w:sz w:val="22"/>
          <w:szCs w:val="22"/>
        </w:rPr>
        <w:t>s a member of the Queensland Studies Authority Equity Committee</w:t>
      </w:r>
      <w:r w:rsidRPr="002F3BB0">
        <w:rPr>
          <w:rFonts w:cstheme="minorHAnsi"/>
          <w:i w:val="0"/>
          <w:color w:val="000000"/>
          <w:sz w:val="22"/>
          <w:szCs w:val="22"/>
        </w:rPr>
        <w:t xml:space="preserve"> </w:t>
      </w:r>
      <w:r w:rsidR="00065025">
        <w:rPr>
          <w:rFonts w:cstheme="minorHAnsi"/>
          <w:i w:val="0"/>
          <w:color w:val="000000"/>
          <w:sz w:val="22"/>
          <w:szCs w:val="22"/>
        </w:rPr>
        <w:t>during</w:t>
      </w:r>
      <w:r w:rsidRPr="002F3BB0">
        <w:rPr>
          <w:rFonts w:cstheme="minorHAnsi"/>
          <w:i w:val="0"/>
          <w:color w:val="000000"/>
          <w:sz w:val="22"/>
          <w:szCs w:val="22"/>
        </w:rPr>
        <w:t xml:space="preserve"> 2013-14</w:t>
      </w:r>
      <w:r w:rsidR="00AA23AF" w:rsidRPr="002F3BB0">
        <w:rPr>
          <w:rFonts w:cstheme="minorHAnsi"/>
          <w:i w:val="0"/>
          <w:color w:val="000000"/>
          <w:sz w:val="22"/>
          <w:szCs w:val="22"/>
        </w:rPr>
        <w:t xml:space="preserve">. </w:t>
      </w:r>
      <w:r w:rsidR="00AA23AF" w:rsidRPr="002F3BB0">
        <w:rPr>
          <w:rFonts w:cstheme="minorHAnsi"/>
          <w:i w:val="0"/>
          <w:sz w:val="22"/>
          <w:szCs w:val="22"/>
        </w:rPr>
        <w:t xml:space="preserve">The QSA </w:t>
      </w:r>
      <w:r w:rsidRPr="002F3BB0">
        <w:rPr>
          <w:rFonts w:cstheme="minorHAnsi"/>
          <w:i w:val="0"/>
          <w:sz w:val="22"/>
          <w:szCs w:val="22"/>
        </w:rPr>
        <w:t>wa</w:t>
      </w:r>
      <w:r w:rsidR="00AA23AF" w:rsidRPr="002F3BB0">
        <w:rPr>
          <w:rFonts w:cstheme="minorHAnsi"/>
          <w:i w:val="0"/>
          <w:sz w:val="22"/>
          <w:szCs w:val="22"/>
        </w:rPr>
        <w:t>s committed to equity in education and providing services and materials that challenge inequities and contribute to Queensland students receiving a socially just education. All QSA materials contain</w:t>
      </w:r>
      <w:r w:rsidRPr="002F3BB0">
        <w:rPr>
          <w:rFonts w:cstheme="minorHAnsi"/>
          <w:i w:val="0"/>
          <w:sz w:val="22"/>
          <w:szCs w:val="22"/>
        </w:rPr>
        <w:t>ed</w:t>
      </w:r>
      <w:r w:rsidR="00AA23AF" w:rsidRPr="002F3BB0">
        <w:rPr>
          <w:rFonts w:cstheme="minorHAnsi"/>
          <w:i w:val="0"/>
          <w:sz w:val="22"/>
          <w:szCs w:val="22"/>
        </w:rPr>
        <w:t xml:space="preserve"> information regarding the equitable education of all students and the ADCQ provide</w:t>
      </w:r>
      <w:r w:rsidRPr="002F3BB0">
        <w:rPr>
          <w:rFonts w:cstheme="minorHAnsi"/>
          <w:i w:val="0"/>
          <w:sz w:val="22"/>
          <w:szCs w:val="22"/>
        </w:rPr>
        <w:t>d</w:t>
      </w:r>
      <w:r w:rsidR="00AA23AF" w:rsidRPr="002F3BB0">
        <w:rPr>
          <w:rFonts w:cstheme="minorHAnsi"/>
          <w:i w:val="0"/>
          <w:sz w:val="22"/>
          <w:szCs w:val="22"/>
        </w:rPr>
        <w:t xml:space="preserve"> input into matters that fall within its jurisdiction </w:t>
      </w:r>
      <w:r w:rsidR="00065025">
        <w:rPr>
          <w:rFonts w:cstheme="minorHAnsi"/>
          <w:i w:val="0"/>
          <w:sz w:val="22"/>
          <w:szCs w:val="22"/>
        </w:rPr>
        <w:t>under</w:t>
      </w:r>
      <w:r w:rsidR="00AA23AF" w:rsidRPr="002F3BB0">
        <w:rPr>
          <w:rFonts w:cstheme="minorHAnsi"/>
          <w:i w:val="0"/>
          <w:sz w:val="22"/>
          <w:szCs w:val="22"/>
        </w:rPr>
        <w:t xml:space="preserve"> the </w:t>
      </w:r>
      <w:r w:rsidR="00AA23AF" w:rsidRPr="002F3BB0">
        <w:rPr>
          <w:rFonts w:cstheme="minorHAnsi"/>
          <w:sz w:val="22"/>
          <w:szCs w:val="22"/>
        </w:rPr>
        <w:t>Anti- Discrimination Act 1991</w:t>
      </w:r>
      <w:r w:rsidR="00AA23AF" w:rsidRPr="002F3BB0">
        <w:rPr>
          <w:rFonts w:cstheme="minorHAnsi"/>
          <w:i w:val="0"/>
          <w:sz w:val="22"/>
          <w:szCs w:val="22"/>
        </w:rPr>
        <w:t>.</w:t>
      </w:r>
      <w:r w:rsidRPr="002F3BB0">
        <w:rPr>
          <w:rFonts w:cstheme="minorHAnsi"/>
          <w:i w:val="0"/>
          <w:sz w:val="22"/>
          <w:szCs w:val="22"/>
        </w:rPr>
        <w:t xml:space="preserve"> The QSA Equity Committee ceased to exist from 1 July 2014 with the commencement of the new Queensland Curriculum an</w:t>
      </w:r>
      <w:r w:rsidR="009A4581">
        <w:rPr>
          <w:rFonts w:cstheme="minorHAnsi"/>
          <w:i w:val="0"/>
          <w:sz w:val="22"/>
          <w:szCs w:val="22"/>
        </w:rPr>
        <w:t>d Assessment Authority (QCAA).</w:t>
      </w:r>
    </w:p>
    <w:p w:rsidR="008201CD" w:rsidRPr="002F3BB0" w:rsidRDefault="008201CD" w:rsidP="00BF30CC">
      <w:pPr>
        <w:pStyle w:val="Heading2"/>
        <w:rPr>
          <w:rFonts w:cstheme="minorHAnsi"/>
          <w:b w:val="0"/>
          <w:i/>
        </w:rPr>
      </w:pPr>
      <w:r w:rsidRPr="00BF30CC">
        <w:t>Regional</w:t>
      </w:r>
      <w:r w:rsidRPr="002F3BB0">
        <w:rPr>
          <w:rFonts w:cstheme="minorHAnsi"/>
        </w:rPr>
        <w:t xml:space="preserve"> Managers Coordination Networks </w:t>
      </w:r>
    </w:p>
    <w:p w:rsidR="008201CD" w:rsidRPr="002F3BB0" w:rsidRDefault="008201CD" w:rsidP="004C2DED">
      <w:pPr>
        <w:keepNext/>
        <w:keepLines/>
        <w:spacing w:before="120" w:after="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The ADCQ Regional Managers in Townsville and Rockhampton continue to participate in Regional Managers Coordination Networks. These forums are designed to identify and develop strateg</w:t>
      </w:r>
      <w:r w:rsidR="009A4581">
        <w:rPr>
          <w:rFonts w:eastAsia="Times New Roman" w:cstheme="minorHAnsi"/>
          <w:i w:val="0"/>
          <w:sz w:val="22"/>
          <w:szCs w:val="22"/>
          <w:lang w:eastAsia="en-AU"/>
        </w:rPr>
        <w:t>ies to address regional issues.</w:t>
      </w:r>
    </w:p>
    <w:p w:rsidR="00487E2B" w:rsidRDefault="00487E2B">
      <w:pPr>
        <w:rPr>
          <w:rFonts w:cstheme="minorHAnsi"/>
          <w:b/>
          <w:i w:val="0"/>
          <w:sz w:val="22"/>
          <w:szCs w:val="22"/>
        </w:rPr>
      </w:pPr>
      <w:r>
        <w:rPr>
          <w:rFonts w:cstheme="minorHAnsi"/>
          <w:b/>
          <w:i w:val="0"/>
          <w:sz w:val="22"/>
          <w:szCs w:val="22"/>
        </w:rPr>
        <w:br w:type="page"/>
      </w:r>
    </w:p>
    <w:p w:rsidR="0021773F" w:rsidRPr="002F3BB0" w:rsidRDefault="00AA2042" w:rsidP="00BF30CC">
      <w:pPr>
        <w:pStyle w:val="Heading2"/>
        <w:rPr>
          <w:rFonts w:cstheme="minorHAnsi"/>
          <w:b w:val="0"/>
          <w:i/>
        </w:rPr>
      </w:pPr>
      <w:r w:rsidRPr="00BF30CC">
        <w:lastRenderedPageBreak/>
        <w:t>Indigenous</w:t>
      </w:r>
      <w:r w:rsidRPr="002F3BB0">
        <w:rPr>
          <w:rFonts w:cstheme="minorHAnsi"/>
        </w:rPr>
        <w:t xml:space="preserve"> </w:t>
      </w:r>
      <w:r w:rsidR="0021773F" w:rsidRPr="002F3BB0">
        <w:rPr>
          <w:rFonts w:cstheme="minorHAnsi"/>
        </w:rPr>
        <w:t>networks</w:t>
      </w:r>
    </w:p>
    <w:p w:rsidR="00A20CD6" w:rsidRPr="002F3BB0" w:rsidRDefault="0021773F" w:rsidP="004C2DED">
      <w:pPr>
        <w:spacing w:before="120" w:after="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The ADCQ’s Aboriginal and Torres Strait Islander Unit Coordinator maintains involvement in a number of professional and community based Indigenous networks across South-East Queensland.  Participation in these networks enables continued connections with key stakeholders and awareness of human rights issues facing Aboriginal and Torres Strait Islander peoples. The ADCQ also provides information and training services to network members </w:t>
      </w:r>
      <w:r w:rsidR="004919B4">
        <w:rPr>
          <w:rFonts w:eastAsia="Times New Roman" w:cstheme="minorHAnsi"/>
          <w:i w:val="0"/>
          <w:sz w:val="22"/>
          <w:szCs w:val="22"/>
          <w:lang w:eastAsia="en-AU"/>
        </w:rPr>
        <w:t xml:space="preserve">about </w:t>
      </w:r>
      <w:r w:rsidRPr="002F3BB0">
        <w:rPr>
          <w:rFonts w:eastAsia="Times New Roman" w:cstheme="minorHAnsi"/>
          <w:i w:val="0"/>
          <w:sz w:val="22"/>
          <w:szCs w:val="22"/>
          <w:lang w:eastAsia="en-AU"/>
        </w:rPr>
        <w:t xml:space="preserve">the </w:t>
      </w:r>
      <w:r w:rsidR="009A4581">
        <w:rPr>
          <w:rFonts w:eastAsia="Times New Roman" w:cstheme="minorHAnsi"/>
          <w:sz w:val="22"/>
          <w:szCs w:val="22"/>
          <w:lang w:eastAsia="en-AU"/>
        </w:rPr>
        <w:t>Anti-Discrimination Act 1991.</w:t>
      </w:r>
    </w:p>
    <w:p w:rsidR="004919B4" w:rsidRPr="002F3BB0" w:rsidRDefault="004919B4" w:rsidP="00BF30CC">
      <w:pPr>
        <w:pStyle w:val="Heading2"/>
        <w:rPr>
          <w:rFonts w:cstheme="minorHAnsi"/>
          <w:b w:val="0"/>
          <w:i/>
        </w:rPr>
      </w:pPr>
      <w:r w:rsidRPr="00BF30CC">
        <w:t>Multicultural</w:t>
      </w:r>
      <w:r w:rsidRPr="002F3BB0">
        <w:rPr>
          <w:rFonts w:cstheme="minorHAnsi"/>
        </w:rPr>
        <w:t xml:space="preserve"> networks</w:t>
      </w:r>
    </w:p>
    <w:p w:rsidR="00A20CD6" w:rsidRPr="002F3BB0" w:rsidRDefault="00A20CD6" w:rsidP="00135540">
      <w:p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The ADCQ is an active member of multicultural networ</w:t>
      </w:r>
      <w:r w:rsidR="009A4581">
        <w:rPr>
          <w:rFonts w:eastAsia="Times New Roman" w:cstheme="minorHAnsi"/>
          <w:i w:val="0"/>
          <w:sz w:val="22"/>
          <w:szCs w:val="22"/>
          <w:lang w:eastAsia="en-AU"/>
        </w:rPr>
        <w:t>ks across Queensland including:</w:t>
      </w:r>
    </w:p>
    <w:p w:rsidR="00A20CD6" w:rsidRPr="002F3BB0" w:rsidRDefault="00A20CD6" w:rsidP="004C2DED">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Cairns and Region Multicultural Service Providers Network</w:t>
      </w:r>
      <w:r w:rsidR="009861D0">
        <w:rPr>
          <w:rFonts w:eastAsia="Times New Roman" w:cstheme="minorHAnsi"/>
          <w:i w:val="0"/>
          <w:sz w:val="22"/>
          <w:szCs w:val="22"/>
          <w:lang w:eastAsia="en-AU"/>
        </w:rPr>
        <w:t>;</w:t>
      </w:r>
    </w:p>
    <w:p w:rsidR="00A20CD6" w:rsidRPr="002F3BB0" w:rsidRDefault="00A20CD6" w:rsidP="004C2DED">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Rockhampton Cultural Diversity Advisory Group</w:t>
      </w:r>
      <w:r w:rsidR="009861D0">
        <w:rPr>
          <w:rFonts w:eastAsia="Times New Roman" w:cstheme="minorHAnsi"/>
          <w:i w:val="0"/>
          <w:sz w:val="22"/>
          <w:szCs w:val="22"/>
          <w:lang w:eastAsia="en-AU"/>
        </w:rPr>
        <w:t>;</w:t>
      </w:r>
    </w:p>
    <w:p w:rsidR="00A20CD6" w:rsidRPr="002F3BB0" w:rsidRDefault="00A20CD6" w:rsidP="004C2DED">
      <w:pPr>
        <w:numPr>
          <w:ilvl w:val="0"/>
          <w:numId w:val="13"/>
        </w:numPr>
        <w:spacing w:before="120" w:after="0" w:line="240" w:lineRule="auto"/>
        <w:ind w:left="357" w:hanging="357"/>
        <w:rPr>
          <w:rFonts w:eastAsia="Times New Roman" w:cstheme="minorHAnsi"/>
          <w:i w:val="0"/>
          <w:sz w:val="22"/>
          <w:szCs w:val="22"/>
          <w:lang w:eastAsia="en-AU"/>
        </w:rPr>
      </w:pPr>
      <w:proofErr w:type="spellStart"/>
      <w:r w:rsidRPr="002F3BB0">
        <w:rPr>
          <w:rFonts w:eastAsia="Times New Roman" w:cstheme="minorHAnsi"/>
          <w:i w:val="0"/>
          <w:sz w:val="22"/>
          <w:szCs w:val="22"/>
          <w:lang w:eastAsia="en-AU"/>
        </w:rPr>
        <w:t>Milpera</w:t>
      </w:r>
      <w:proofErr w:type="spellEnd"/>
      <w:r w:rsidRPr="002F3BB0">
        <w:rPr>
          <w:rFonts w:eastAsia="Times New Roman" w:cstheme="minorHAnsi"/>
          <w:i w:val="0"/>
          <w:sz w:val="22"/>
          <w:szCs w:val="22"/>
          <w:lang w:eastAsia="en-AU"/>
        </w:rPr>
        <w:t xml:space="preserve"> State High School Advisory Committee</w:t>
      </w:r>
      <w:r w:rsidR="009861D0">
        <w:rPr>
          <w:rFonts w:eastAsia="Times New Roman" w:cstheme="minorHAnsi"/>
          <w:i w:val="0"/>
          <w:sz w:val="22"/>
          <w:szCs w:val="22"/>
          <w:lang w:eastAsia="en-AU"/>
        </w:rPr>
        <w:t>;</w:t>
      </w:r>
    </w:p>
    <w:p w:rsidR="00A20CD6" w:rsidRDefault="00A20CD6" w:rsidP="004C2DED">
      <w:pPr>
        <w:numPr>
          <w:ilvl w:val="0"/>
          <w:numId w:val="13"/>
        </w:numPr>
        <w:spacing w:before="120" w:after="0" w:line="240" w:lineRule="auto"/>
        <w:ind w:left="357" w:hanging="357"/>
        <w:rPr>
          <w:rFonts w:eastAsia="Times New Roman" w:cstheme="minorHAnsi"/>
          <w:i w:val="0"/>
          <w:sz w:val="22"/>
          <w:szCs w:val="22"/>
          <w:lang w:eastAsia="en-AU"/>
        </w:rPr>
      </w:pPr>
      <w:r w:rsidRPr="002F3BB0">
        <w:rPr>
          <w:rFonts w:eastAsia="Times New Roman" w:cstheme="minorHAnsi"/>
          <w:i w:val="0"/>
          <w:sz w:val="22"/>
          <w:szCs w:val="22"/>
          <w:lang w:eastAsia="en-AU"/>
        </w:rPr>
        <w:t>Cairns</w:t>
      </w:r>
      <w:r w:rsidR="00FF73EB" w:rsidRPr="002F3BB0">
        <w:rPr>
          <w:rFonts w:eastAsia="Times New Roman" w:cstheme="minorHAnsi"/>
          <w:i w:val="0"/>
          <w:sz w:val="22"/>
          <w:szCs w:val="22"/>
          <w:lang w:eastAsia="en-AU"/>
        </w:rPr>
        <w:t xml:space="preserve"> Regional Council Multicultural Advisory Group</w:t>
      </w:r>
      <w:r w:rsidR="009861D0">
        <w:rPr>
          <w:rFonts w:eastAsia="Times New Roman" w:cstheme="minorHAnsi"/>
          <w:i w:val="0"/>
          <w:sz w:val="22"/>
          <w:szCs w:val="22"/>
          <w:lang w:eastAsia="en-AU"/>
        </w:rPr>
        <w:t>.</w:t>
      </w:r>
    </w:p>
    <w:p w:rsidR="0021773F" w:rsidRPr="004C2DED" w:rsidRDefault="00A20CD6" w:rsidP="00BF30CC">
      <w:pPr>
        <w:pStyle w:val="Heading2"/>
        <w:rPr>
          <w:rFonts w:cstheme="minorHAnsi"/>
          <w:b w:val="0"/>
          <w:i/>
        </w:rPr>
      </w:pPr>
      <w:r w:rsidRPr="00BF30CC">
        <w:t>D</w:t>
      </w:r>
      <w:r w:rsidR="0021773F" w:rsidRPr="00BF30CC">
        <w:t>isability</w:t>
      </w:r>
      <w:r w:rsidR="0021773F" w:rsidRPr="004C2DED">
        <w:rPr>
          <w:rFonts w:cstheme="minorHAnsi"/>
        </w:rPr>
        <w:t xml:space="preserve"> networks</w:t>
      </w:r>
    </w:p>
    <w:p w:rsidR="0021773F" w:rsidRPr="002F3BB0" w:rsidRDefault="0021773F" w:rsidP="004C2DED">
      <w:pPr>
        <w:spacing w:before="120" w:after="0" w:line="240" w:lineRule="auto"/>
        <w:rPr>
          <w:rFonts w:cstheme="minorHAnsi"/>
          <w:i w:val="0"/>
          <w:sz w:val="22"/>
          <w:szCs w:val="22"/>
        </w:rPr>
      </w:pPr>
      <w:r w:rsidRPr="002F3BB0">
        <w:rPr>
          <w:rFonts w:eastAsia="Times New Roman" w:cstheme="minorHAnsi"/>
          <w:i w:val="0"/>
          <w:sz w:val="22"/>
          <w:szCs w:val="22"/>
          <w:lang w:eastAsia="en-AU"/>
        </w:rPr>
        <w:t xml:space="preserve">The ADCQ is involved </w:t>
      </w:r>
      <w:r w:rsidR="009861D0">
        <w:rPr>
          <w:rFonts w:eastAsia="Times New Roman" w:cstheme="minorHAnsi"/>
          <w:i w:val="0"/>
          <w:sz w:val="22"/>
          <w:szCs w:val="22"/>
          <w:lang w:eastAsia="en-AU"/>
        </w:rPr>
        <w:t xml:space="preserve">with </w:t>
      </w:r>
      <w:r w:rsidRPr="002F3BB0">
        <w:rPr>
          <w:rFonts w:eastAsia="Times New Roman" w:cstheme="minorHAnsi"/>
          <w:i w:val="0"/>
          <w:sz w:val="22"/>
          <w:szCs w:val="22"/>
          <w:lang w:eastAsia="en-AU"/>
        </w:rPr>
        <w:t>disability advisory groups and networks across the state, including Queenslanders with Disability Network, Queensland Disability Information Network, Aboriginal &amp; Torres Strait Islander Disability Network Queensland</w:t>
      </w:r>
      <w:r w:rsidRPr="002F3BB0">
        <w:rPr>
          <w:rFonts w:eastAsia="Times New Roman" w:cstheme="minorHAnsi"/>
          <w:b/>
          <w:i w:val="0"/>
          <w:sz w:val="22"/>
          <w:szCs w:val="22"/>
          <w:lang w:eastAsia="en-AU"/>
        </w:rPr>
        <w:t xml:space="preserve">, </w:t>
      </w:r>
      <w:r w:rsidRPr="002F3BB0">
        <w:rPr>
          <w:rFonts w:eastAsia="Times New Roman" w:cstheme="minorHAnsi"/>
          <w:i w:val="0"/>
          <w:sz w:val="22"/>
          <w:szCs w:val="22"/>
          <w:lang w:eastAsia="en-AU"/>
        </w:rPr>
        <w:t xml:space="preserve">Rockhampton Access &amp; Equity Group and </w:t>
      </w:r>
      <w:r w:rsidRPr="002F3BB0">
        <w:rPr>
          <w:rFonts w:cstheme="minorHAnsi"/>
          <w:i w:val="0"/>
          <w:sz w:val="22"/>
          <w:szCs w:val="22"/>
        </w:rPr>
        <w:t xml:space="preserve">Cairns Regional Council Access and Equity Committee. The ADCQ </w:t>
      </w:r>
      <w:r w:rsidR="009861D0">
        <w:rPr>
          <w:rFonts w:cstheme="minorHAnsi"/>
          <w:i w:val="0"/>
          <w:sz w:val="22"/>
          <w:szCs w:val="22"/>
        </w:rPr>
        <w:t>gives</w:t>
      </w:r>
      <w:r w:rsidR="009861D0" w:rsidRPr="002F3BB0">
        <w:rPr>
          <w:rFonts w:cstheme="minorHAnsi"/>
          <w:i w:val="0"/>
          <w:sz w:val="22"/>
          <w:szCs w:val="22"/>
        </w:rPr>
        <w:t xml:space="preserve"> </w:t>
      </w:r>
      <w:r w:rsidRPr="002F3BB0">
        <w:rPr>
          <w:rFonts w:cstheme="minorHAnsi"/>
          <w:i w:val="0"/>
          <w:sz w:val="22"/>
          <w:szCs w:val="22"/>
        </w:rPr>
        <w:t>input on matters relating to impairment discrimination and accessibility</w:t>
      </w:r>
      <w:r w:rsidR="009861D0">
        <w:rPr>
          <w:rFonts w:cstheme="minorHAnsi"/>
          <w:i w:val="0"/>
          <w:sz w:val="22"/>
          <w:szCs w:val="22"/>
        </w:rPr>
        <w:t>,</w:t>
      </w:r>
      <w:r w:rsidRPr="002F3BB0">
        <w:rPr>
          <w:rFonts w:cstheme="minorHAnsi"/>
          <w:i w:val="0"/>
          <w:sz w:val="22"/>
          <w:szCs w:val="22"/>
        </w:rPr>
        <w:t xml:space="preserve"> as well as keeping abreast of issues concerning this</w:t>
      </w:r>
      <w:r w:rsidR="009A4581">
        <w:rPr>
          <w:rFonts w:cstheme="minorHAnsi"/>
          <w:i w:val="0"/>
          <w:sz w:val="22"/>
          <w:szCs w:val="22"/>
        </w:rPr>
        <w:t xml:space="preserve"> significant stakeholder group.</w:t>
      </w:r>
    </w:p>
    <w:p w:rsidR="0021773F" w:rsidRDefault="0021773F" w:rsidP="00BF30CC">
      <w:pPr>
        <w:pStyle w:val="Heading2"/>
        <w:rPr>
          <w:rFonts w:cstheme="minorHAnsi"/>
          <w:b w:val="0"/>
          <w:i/>
        </w:rPr>
      </w:pPr>
      <w:r w:rsidRPr="00BF30CC">
        <w:t>Information</w:t>
      </w:r>
      <w:r w:rsidRPr="002F3BB0">
        <w:rPr>
          <w:rFonts w:cstheme="minorHAnsi"/>
        </w:rPr>
        <w:t xml:space="preserve"> products and services</w:t>
      </w:r>
    </w:p>
    <w:p w:rsidR="00A8170D" w:rsidRPr="002F3BB0" w:rsidRDefault="00A8170D" w:rsidP="004C2DED">
      <w:pPr>
        <w:spacing w:before="360" w:after="120" w:line="240" w:lineRule="auto"/>
        <w:rPr>
          <w:rFonts w:cstheme="minorHAnsi"/>
          <w:b/>
          <w:i w:val="0"/>
          <w:sz w:val="22"/>
          <w:szCs w:val="22"/>
        </w:rPr>
      </w:pPr>
      <w:r>
        <w:rPr>
          <w:rFonts w:cstheme="minorHAnsi"/>
          <w:b/>
          <w:i w:val="0"/>
          <w:sz w:val="22"/>
          <w:szCs w:val="22"/>
        </w:rPr>
        <w:t>Products</w:t>
      </w:r>
    </w:p>
    <w:p w:rsidR="00C4131F" w:rsidRPr="002F3BB0" w:rsidRDefault="0021773F" w:rsidP="004C2DED">
      <w:pPr>
        <w:autoSpaceDE w:val="0"/>
        <w:autoSpaceDN w:val="0"/>
        <w:adjustRightInd w:val="0"/>
        <w:spacing w:before="120" w:after="0" w:line="240" w:lineRule="auto"/>
        <w:rPr>
          <w:rFonts w:cstheme="minorHAnsi"/>
          <w:i w:val="0"/>
          <w:sz w:val="22"/>
          <w:szCs w:val="22"/>
        </w:rPr>
      </w:pPr>
      <w:r w:rsidRPr="002F3BB0">
        <w:rPr>
          <w:rFonts w:cstheme="minorHAnsi"/>
          <w:i w:val="0"/>
          <w:sz w:val="22"/>
          <w:szCs w:val="22"/>
        </w:rPr>
        <w:t xml:space="preserve">The Commission produces a wide range of </w:t>
      </w:r>
      <w:r w:rsidR="00CD427D">
        <w:rPr>
          <w:rFonts w:cstheme="minorHAnsi"/>
          <w:i w:val="0"/>
          <w:sz w:val="22"/>
          <w:szCs w:val="22"/>
        </w:rPr>
        <w:t xml:space="preserve">print and non-print </w:t>
      </w:r>
      <w:r w:rsidRPr="002F3BB0">
        <w:rPr>
          <w:rFonts w:cstheme="minorHAnsi"/>
          <w:i w:val="0"/>
          <w:sz w:val="22"/>
          <w:szCs w:val="22"/>
        </w:rPr>
        <w:t xml:space="preserve">publications including guidelines, fact sheets, information brochures, rights cards, videos and audio files. </w:t>
      </w:r>
      <w:r w:rsidR="00C4131F" w:rsidRPr="002F3BB0">
        <w:rPr>
          <w:rFonts w:cstheme="minorHAnsi"/>
          <w:i w:val="0"/>
          <w:sz w:val="22"/>
          <w:szCs w:val="22"/>
        </w:rPr>
        <w:t>In 2013-14 a number of new fact sheets were added to the suite of information products</w:t>
      </w:r>
      <w:r w:rsidR="009861D0">
        <w:rPr>
          <w:rFonts w:cstheme="minorHAnsi"/>
          <w:i w:val="0"/>
          <w:sz w:val="22"/>
          <w:szCs w:val="22"/>
        </w:rPr>
        <w:t>, including fact sheets on</w:t>
      </w:r>
      <w:r w:rsidR="009A4581">
        <w:rPr>
          <w:rFonts w:cstheme="minorHAnsi"/>
          <w:i w:val="0"/>
          <w:sz w:val="22"/>
          <w:szCs w:val="22"/>
        </w:rPr>
        <w:t>:</w:t>
      </w:r>
    </w:p>
    <w:p w:rsidR="00C4131F" w:rsidRPr="004C2DED" w:rsidRDefault="00C4131F" w:rsidP="004C2DED">
      <w:pPr>
        <w:numPr>
          <w:ilvl w:val="0"/>
          <w:numId w:val="13"/>
        </w:numPr>
        <w:spacing w:before="120" w:after="0" w:line="240" w:lineRule="auto"/>
        <w:ind w:left="357" w:hanging="357"/>
        <w:rPr>
          <w:rFonts w:eastAsia="Times New Roman" w:cstheme="minorHAnsi"/>
          <w:i w:val="0"/>
          <w:sz w:val="22"/>
          <w:szCs w:val="22"/>
          <w:lang w:eastAsia="en-AU"/>
        </w:rPr>
      </w:pPr>
      <w:r w:rsidRPr="004C2DED">
        <w:rPr>
          <w:rFonts w:eastAsia="Times New Roman" w:cstheme="minorHAnsi"/>
          <w:i w:val="0"/>
          <w:sz w:val="22"/>
          <w:szCs w:val="22"/>
          <w:lang w:eastAsia="en-AU"/>
        </w:rPr>
        <w:t>Bullying</w:t>
      </w:r>
      <w:r w:rsidR="009861D0" w:rsidRPr="004C2DED">
        <w:rPr>
          <w:rFonts w:eastAsia="Times New Roman" w:cstheme="minorHAnsi"/>
          <w:i w:val="0"/>
          <w:sz w:val="22"/>
          <w:szCs w:val="22"/>
          <w:lang w:eastAsia="en-AU"/>
        </w:rPr>
        <w:t>;</w:t>
      </w:r>
    </w:p>
    <w:p w:rsidR="009861D0" w:rsidRPr="004C2DED" w:rsidRDefault="009861D0" w:rsidP="004C2DED">
      <w:pPr>
        <w:numPr>
          <w:ilvl w:val="0"/>
          <w:numId w:val="13"/>
        </w:numPr>
        <w:spacing w:before="120" w:after="0" w:line="240" w:lineRule="auto"/>
        <w:ind w:left="357" w:hanging="357"/>
        <w:rPr>
          <w:rFonts w:eastAsia="Times New Roman" w:cstheme="minorHAnsi"/>
          <w:i w:val="0"/>
          <w:sz w:val="22"/>
          <w:szCs w:val="22"/>
          <w:lang w:eastAsia="en-AU"/>
        </w:rPr>
      </w:pPr>
      <w:r w:rsidRPr="004C2DED">
        <w:rPr>
          <w:rFonts w:eastAsia="Times New Roman" w:cstheme="minorHAnsi"/>
          <w:i w:val="0"/>
          <w:sz w:val="22"/>
          <w:szCs w:val="22"/>
          <w:lang w:eastAsia="en-AU"/>
        </w:rPr>
        <w:t>Incapacity and work;</w:t>
      </w:r>
    </w:p>
    <w:p w:rsidR="00C4131F" w:rsidRPr="004C2DED" w:rsidRDefault="00C4131F" w:rsidP="004C2DED">
      <w:pPr>
        <w:numPr>
          <w:ilvl w:val="0"/>
          <w:numId w:val="13"/>
        </w:numPr>
        <w:spacing w:before="120" w:after="0" w:line="240" w:lineRule="auto"/>
        <w:ind w:left="357" w:hanging="357"/>
        <w:rPr>
          <w:rFonts w:eastAsia="Times New Roman" w:cstheme="minorHAnsi"/>
          <w:i w:val="0"/>
          <w:sz w:val="22"/>
          <w:szCs w:val="22"/>
          <w:lang w:eastAsia="en-AU"/>
        </w:rPr>
      </w:pPr>
      <w:r w:rsidRPr="004C2DED">
        <w:rPr>
          <w:rFonts w:eastAsia="Times New Roman" w:cstheme="minorHAnsi"/>
          <w:i w:val="0"/>
          <w:sz w:val="22"/>
          <w:szCs w:val="22"/>
          <w:lang w:eastAsia="en-AU"/>
        </w:rPr>
        <w:t>Medical information and recruitment – brief information</w:t>
      </w:r>
      <w:r w:rsidR="009861D0" w:rsidRPr="004C2DED">
        <w:rPr>
          <w:rFonts w:eastAsia="Times New Roman" w:cstheme="minorHAnsi"/>
          <w:i w:val="0"/>
          <w:sz w:val="22"/>
          <w:szCs w:val="22"/>
          <w:lang w:eastAsia="en-AU"/>
        </w:rPr>
        <w:t>;</w:t>
      </w:r>
    </w:p>
    <w:p w:rsidR="009861D0" w:rsidRPr="004C2DED" w:rsidRDefault="00C4131F" w:rsidP="004C2DED">
      <w:pPr>
        <w:numPr>
          <w:ilvl w:val="0"/>
          <w:numId w:val="13"/>
        </w:numPr>
        <w:spacing w:before="120" w:after="0" w:line="240" w:lineRule="auto"/>
        <w:ind w:left="357" w:hanging="357"/>
        <w:rPr>
          <w:rFonts w:eastAsia="Times New Roman" w:cstheme="minorHAnsi"/>
          <w:i w:val="0"/>
          <w:sz w:val="22"/>
          <w:szCs w:val="22"/>
          <w:lang w:eastAsia="en-AU"/>
        </w:rPr>
      </w:pPr>
      <w:r w:rsidRPr="004C2DED">
        <w:rPr>
          <w:rFonts w:eastAsia="Times New Roman" w:cstheme="minorHAnsi"/>
          <w:i w:val="0"/>
          <w:sz w:val="22"/>
          <w:szCs w:val="22"/>
          <w:lang w:eastAsia="en-AU"/>
        </w:rPr>
        <w:t>Medical information and recruitment – detailed information</w:t>
      </w:r>
      <w:r w:rsidR="00EA4252">
        <w:rPr>
          <w:rFonts w:eastAsia="Times New Roman" w:cstheme="minorHAnsi"/>
          <w:i w:val="0"/>
          <w:sz w:val="22"/>
          <w:szCs w:val="22"/>
          <w:lang w:eastAsia="en-AU"/>
        </w:rPr>
        <w:t>.</w:t>
      </w:r>
    </w:p>
    <w:p w:rsidR="0021773F" w:rsidRPr="002F3BB0" w:rsidRDefault="0021773F" w:rsidP="004C2DED">
      <w:pPr>
        <w:autoSpaceDE w:val="0"/>
        <w:autoSpaceDN w:val="0"/>
        <w:adjustRightInd w:val="0"/>
        <w:spacing w:before="240" w:after="0" w:line="240" w:lineRule="auto"/>
        <w:rPr>
          <w:rFonts w:cstheme="minorHAnsi"/>
          <w:i w:val="0"/>
          <w:sz w:val="22"/>
          <w:szCs w:val="22"/>
        </w:rPr>
      </w:pPr>
      <w:r w:rsidRPr="002F3BB0">
        <w:rPr>
          <w:rFonts w:cstheme="minorHAnsi"/>
          <w:i w:val="0"/>
          <w:sz w:val="22"/>
          <w:szCs w:val="22"/>
        </w:rPr>
        <w:t xml:space="preserve">All </w:t>
      </w:r>
      <w:r w:rsidR="00CD427D">
        <w:rPr>
          <w:rFonts w:cstheme="minorHAnsi"/>
          <w:i w:val="0"/>
          <w:sz w:val="22"/>
          <w:szCs w:val="22"/>
        </w:rPr>
        <w:t xml:space="preserve">publications </w:t>
      </w:r>
      <w:r w:rsidRPr="002F3BB0">
        <w:rPr>
          <w:rFonts w:cstheme="minorHAnsi"/>
          <w:i w:val="0"/>
          <w:sz w:val="22"/>
          <w:szCs w:val="22"/>
        </w:rPr>
        <w:t xml:space="preserve">are available online and many in hard copy by request.  A </w:t>
      </w:r>
      <w:r w:rsidR="00CD427D">
        <w:rPr>
          <w:rFonts w:cstheme="minorHAnsi"/>
          <w:i w:val="0"/>
          <w:sz w:val="22"/>
          <w:szCs w:val="22"/>
        </w:rPr>
        <w:t>selection</w:t>
      </w:r>
      <w:r w:rsidR="00CD427D" w:rsidRPr="002F3BB0">
        <w:rPr>
          <w:rFonts w:cstheme="minorHAnsi"/>
          <w:i w:val="0"/>
          <w:sz w:val="22"/>
          <w:szCs w:val="22"/>
        </w:rPr>
        <w:t xml:space="preserve"> </w:t>
      </w:r>
      <w:r w:rsidRPr="002F3BB0">
        <w:rPr>
          <w:rFonts w:cstheme="minorHAnsi"/>
          <w:i w:val="0"/>
          <w:sz w:val="22"/>
          <w:szCs w:val="22"/>
        </w:rPr>
        <w:t xml:space="preserve">of posters </w:t>
      </w:r>
      <w:r w:rsidR="00CD427D">
        <w:rPr>
          <w:rFonts w:cstheme="minorHAnsi"/>
          <w:i w:val="0"/>
          <w:sz w:val="22"/>
          <w:szCs w:val="22"/>
        </w:rPr>
        <w:t>is</w:t>
      </w:r>
      <w:r w:rsidR="00CD427D" w:rsidRPr="002F3BB0">
        <w:rPr>
          <w:rFonts w:cstheme="minorHAnsi"/>
          <w:i w:val="0"/>
          <w:sz w:val="22"/>
          <w:szCs w:val="22"/>
        </w:rPr>
        <w:t xml:space="preserve"> </w:t>
      </w:r>
      <w:r w:rsidRPr="002F3BB0">
        <w:rPr>
          <w:rFonts w:cstheme="minorHAnsi"/>
          <w:i w:val="0"/>
          <w:sz w:val="22"/>
          <w:szCs w:val="22"/>
        </w:rPr>
        <w:t>also available</w:t>
      </w:r>
      <w:r w:rsidR="00A8170D">
        <w:rPr>
          <w:rFonts w:cstheme="minorHAnsi"/>
          <w:i w:val="0"/>
          <w:sz w:val="22"/>
          <w:szCs w:val="22"/>
        </w:rPr>
        <w:t xml:space="preserve"> upon request from the Commission</w:t>
      </w:r>
      <w:r w:rsidRPr="002F3BB0">
        <w:rPr>
          <w:rFonts w:cstheme="minorHAnsi"/>
          <w:i w:val="0"/>
          <w:sz w:val="22"/>
          <w:szCs w:val="22"/>
        </w:rPr>
        <w:t>. These posters are designed for display in workpla</w:t>
      </w:r>
      <w:r w:rsidR="00AA23AF" w:rsidRPr="002F3BB0">
        <w:rPr>
          <w:rFonts w:cstheme="minorHAnsi"/>
          <w:i w:val="0"/>
          <w:sz w:val="22"/>
          <w:szCs w:val="22"/>
        </w:rPr>
        <w:t xml:space="preserve">ces and other public spaces to </w:t>
      </w:r>
      <w:r w:rsidRPr="002F3BB0">
        <w:rPr>
          <w:rFonts w:cstheme="minorHAnsi"/>
          <w:i w:val="0"/>
          <w:sz w:val="22"/>
          <w:szCs w:val="22"/>
        </w:rPr>
        <w:t>encourage people to think about issues of human rights and their own roles in preventing</w:t>
      </w:r>
      <w:r w:rsidR="009A4581">
        <w:rPr>
          <w:rFonts w:cstheme="minorHAnsi"/>
          <w:i w:val="0"/>
          <w:sz w:val="22"/>
          <w:szCs w:val="22"/>
        </w:rPr>
        <w:t xml:space="preserve"> and addressing discrimination.</w:t>
      </w:r>
    </w:p>
    <w:p w:rsidR="00DF6071" w:rsidRDefault="0021773F" w:rsidP="004C2DED">
      <w:pPr>
        <w:autoSpaceDE w:val="0"/>
        <w:autoSpaceDN w:val="0"/>
        <w:adjustRightInd w:val="0"/>
        <w:spacing w:before="240" w:after="0" w:line="240" w:lineRule="auto"/>
        <w:rPr>
          <w:rFonts w:cstheme="minorHAnsi"/>
          <w:i w:val="0"/>
          <w:sz w:val="22"/>
          <w:szCs w:val="22"/>
        </w:rPr>
      </w:pPr>
      <w:r w:rsidRPr="00C37B3D">
        <w:rPr>
          <w:rFonts w:cstheme="minorHAnsi"/>
          <w:sz w:val="22"/>
          <w:szCs w:val="22"/>
        </w:rPr>
        <w:t>Balancing the Act</w:t>
      </w:r>
      <w:r w:rsidR="00CD427D">
        <w:rPr>
          <w:rFonts w:cstheme="minorHAnsi"/>
          <w:i w:val="0"/>
          <w:sz w:val="22"/>
          <w:szCs w:val="22"/>
        </w:rPr>
        <w:t xml:space="preserve"> is the Commission’s</w:t>
      </w:r>
      <w:r w:rsidRPr="002F3BB0">
        <w:rPr>
          <w:rFonts w:cstheme="minorHAnsi"/>
          <w:i w:val="0"/>
          <w:sz w:val="22"/>
          <w:szCs w:val="22"/>
        </w:rPr>
        <w:t xml:space="preserve"> </w:t>
      </w:r>
      <w:r w:rsidR="00CD427D">
        <w:rPr>
          <w:rFonts w:cstheme="minorHAnsi"/>
          <w:i w:val="0"/>
          <w:sz w:val="22"/>
          <w:szCs w:val="22"/>
        </w:rPr>
        <w:t xml:space="preserve">current awareness </w:t>
      </w:r>
      <w:r w:rsidRPr="002F3BB0">
        <w:rPr>
          <w:rFonts w:cstheme="minorHAnsi"/>
          <w:i w:val="0"/>
          <w:sz w:val="22"/>
          <w:szCs w:val="22"/>
        </w:rPr>
        <w:t>newsletter</w:t>
      </w:r>
      <w:r w:rsidR="00CD427D">
        <w:rPr>
          <w:rFonts w:cstheme="minorHAnsi"/>
          <w:i w:val="0"/>
          <w:sz w:val="22"/>
          <w:szCs w:val="22"/>
        </w:rPr>
        <w:t xml:space="preserve"> and is produced twice a year</w:t>
      </w:r>
      <w:r w:rsidRPr="002F3BB0">
        <w:rPr>
          <w:rFonts w:cstheme="minorHAnsi"/>
          <w:i w:val="0"/>
          <w:sz w:val="22"/>
          <w:szCs w:val="22"/>
        </w:rPr>
        <w:t xml:space="preserve">. </w:t>
      </w:r>
      <w:r w:rsidR="00CD427D">
        <w:rPr>
          <w:rFonts w:cstheme="minorHAnsi"/>
          <w:i w:val="0"/>
          <w:sz w:val="22"/>
          <w:szCs w:val="22"/>
        </w:rPr>
        <w:t>It</w:t>
      </w:r>
      <w:r w:rsidRPr="002F3BB0">
        <w:rPr>
          <w:rFonts w:cstheme="minorHAnsi"/>
          <w:i w:val="0"/>
          <w:sz w:val="22"/>
          <w:szCs w:val="22"/>
        </w:rPr>
        <w:t xml:space="preserve"> provides information </w:t>
      </w:r>
      <w:r w:rsidR="00CD427D">
        <w:rPr>
          <w:rFonts w:cstheme="minorHAnsi"/>
          <w:i w:val="0"/>
          <w:sz w:val="22"/>
          <w:szCs w:val="22"/>
        </w:rPr>
        <w:t>about</w:t>
      </w:r>
      <w:r w:rsidR="00CD427D" w:rsidRPr="002F3BB0">
        <w:rPr>
          <w:rFonts w:cstheme="minorHAnsi"/>
          <w:i w:val="0"/>
          <w:sz w:val="22"/>
          <w:szCs w:val="22"/>
        </w:rPr>
        <w:t xml:space="preserve"> </w:t>
      </w:r>
      <w:r w:rsidR="00CD427D">
        <w:rPr>
          <w:rFonts w:cstheme="minorHAnsi"/>
          <w:i w:val="0"/>
          <w:sz w:val="22"/>
          <w:szCs w:val="22"/>
        </w:rPr>
        <w:t>changes</w:t>
      </w:r>
      <w:r w:rsidR="00CD427D" w:rsidRPr="002F3BB0">
        <w:rPr>
          <w:rFonts w:cstheme="minorHAnsi"/>
          <w:i w:val="0"/>
          <w:sz w:val="22"/>
          <w:szCs w:val="22"/>
        </w:rPr>
        <w:t xml:space="preserve"> </w:t>
      </w:r>
      <w:r w:rsidRPr="002F3BB0">
        <w:rPr>
          <w:rFonts w:cstheme="minorHAnsi"/>
          <w:i w:val="0"/>
          <w:sz w:val="22"/>
          <w:szCs w:val="22"/>
        </w:rPr>
        <w:t>to human rights legislation, recent case law, projects and activities undertaken by ADCQ and other human rights organisations</w:t>
      </w:r>
      <w:r w:rsidR="00CD427D">
        <w:rPr>
          <w:rFonts w:cstheme="minorHAnsi"/>
          <w:i w:val="0"/>
          <w:sz w:val="22"/>
          <w:szCs w:val="22"/>
        </w:rPr>
        <w:t>,</w:t>
      </w:r>
      <w:r w:rsidRPr="002F3BB0">
        <w:rPr>
          <w:rFonts w:cstheme="minorHAnsi"/>
          <w:i w:val="0"/>
          <w:sz w:val="22"/>
          <w:szCs w:val="22"/>
        </w:rPr>
        <w:t xml:space="preserve"> and topical issues of relevance to ADCQ stakeholders. </w:t>
      </w:r>
      <w:r w:rsidRPr="00C37B3D">
        <w:rPr>
          <w:rFonts w:cstheme="minorHAnsi"/>
          <w:sz w:val="22"/>
          <w:szCs w:val="22"/>
        </w:rPr>
        <w:t>Balancing the Act</w:t>
      </w:r>
      <w:r w:rsidRPr="002F3BB0">
        <w:rPr>
          <w:rFonts w:cstheme="minorHAnsi"/>
          <w:i w:val="0"/>
          <w:sz w:val="22"/>
          <w:szCs w:val="22"/>
        </w:rPr>
        <w:t xml:space="preserve"> is distributed to </w:t>
      </w:r>
      <w:r w:rsidR="00CD427D">
        <w:rPr>
          <w:rFonts w:cstheme="minorHAnsi"/>
          <w:i w:val="0"/>
          <w:sz w:val="22"/>
          <w:szCs w:val="22"/>
        </w:rPr>
        <w:t>around</w:t>
      </w:r>
      <w:r w:rsidR="00CD427D" w:rsidRPr="002F3BB0">
        <w:rPr>
          <w:rFonts w:cstheme="minorHAnsi"/>
          <w:i w:val="0"/>
          <w:sz w:val="22"/>
          <w:szCs w:val="22"/>
        </w:rPr>
        <w:t xml:space="preserve"> </w:t>
      </w:r>
      <w:r w:rsidRPr="002F3BB0">
        <w:rPr>
          <w:rFonts w:cstheme="minorHAnsi"/>
          <w:i w:val="0"/>
          <w:sz w:val="22"/>
          <w:szCs w:val="22"/>
        </w:rPr>
        <w:t>1</w:t>
      </w:r>
      <w:r w:rsidR="00CD427D">
        <w:rPr>
          <w:rFonts w:cstheme="minorHAnsi"/>
          <w:i w:val="0"/>
          <w:sz w:val="22"/>
          <w:szCs w:val="22"/>
        </w:rPr>
        <w:t>,</w:t>
      </w:r>
      <w:r w:rsidRPr="002F3BB0">
        <w:rPr>
          <w:rFonts w:cstheme="minorHAnsi"/>
          <w:i w:val="0"/>
          <w:sz w:val="22"/>
          <w:szCs w:val="22"/>
        </w:rPr>
        <w:t xml:space="preserve">500 individuals and organisations throughout Queensland and is also available </w:t>
      </w:r>
      <w:r w:rsidR="008B5FD3">
        <w:rPr>
          <w:rFonts w:cstheme="minorHAnsi"/>
          <w:i w:val="0"/>
          <w:sz w:val="22"/>
          <w:szCs w:val="22"/>
        </w:rPr>
        <w:t xml:space="preserve">on </w:t>
      </w:r>
      <w:r w:rsidR="009A4581">
        <w:rPr>
          <w:rFonts w:cstheme="minorHAnsi"/>
          <w:i w:val="0"/>
          <w:sz w:val="22"/>
          <w:szCs w:val="22"/>
        </w:rPr>
        <w:t>the ADCQ website.</w:t>
      </w:r>
    </w:p>
    <w:p w:rsidR="00A8170D" w:rsidRPr="007826EB" w:rsidRDefault="00A8170D" w:rsidP="004C2DED">
      <w:pPr>
        <w:spacing w:before="360" w:after="120" w:line="240" w:lineRule="auto"/>
        <w:rPr>
          <w:rFonts w:cstheme="minorHAnsi"/>
          <w:b/>
          <w:i w:val="0"/>
          <w:sz w:val="22"/>
          <w:szCs w:val="22"/>
        </w:rPr>
      </w:pPr>
      <w:r w:rsidRPr="007826EB">
        <w:rPr>
          <w:rFonts w:cstheme="minorHAnsi"/>
          <w:b/>
          <w:i w:val="0"/>
          <w:sz w:val="22"/>
          <w:szCs w:val="22"/>
        </w:rPr>
        <w:t>Services</w:t>
      </w:r>
    </w:p>
    <w:p w:rsidR="00DF6071" w:rsidRPr="002F3BB0" w:rsidRDefault="00C4131F" w:rsidP="004C2DED">
      <w:pPr>
        <w:spacing w:before="120" w:after="240" w:line="240" w:lineRule="auto"/>
        <w:rPr>
          <w:rFonts w:ascii="Arial" w:hAnsi="Arial" w:cs="Arial"/>
          <w:i w:val="0"/>
          <w:sz w:val="22"/>
        </w:rPr>
      </w:pPr>
      <w:r w:rsidRPr="002F3BB0">
        <w:rPr>
          <w:rFonts w:ascii="Arial" w:hAnsi="Arial" w:cs="Arial"/>
          <w:i w:val="0"/>
          <w:sz w:val="22"/>
        </w:rPr>
        <w:t xml:space="preserve">In addition to </w:t>
      </w:r>
      <w:r w:rsidR="00505CEC">
        <w:rPr>
          <w:rFonts w:ascii="Arial" w:hAnsi="Arial" w:cs="Arial"/>
          <w:i w:val="0"/>
          <w:sz w:val="22"/>
        </w:rPr>
        <w:t>print and online</w:t>
      </w:r>
      <w:r w:rsidRPr="002F3BB0">
        <w:rPr>
          <w:rFonts w:ascii="Arial" w:hAnsi="Arial" w:cs="Arial"/>
          <w:i w:val="0"/>
          <w:sz w:val="22"/>
        </w:rPr>
        <w:t xml:space="preserve"> information, t</w:t>
      </w:r>
      <w:r w:rsidR="00DF6071" w:rsidRPr="002F3BB0">
        <w:rPr>
          <w:rFonts w:ascii="Arial" w:hAnsi="Arial" w:cs="Arial"/>
          <w:i w:val="0"/>
          <w:sz w:val="22"/>
        </w:rPr>
        <w:t>he Commission provide</w:t>
      </w:r>
      <w:r w:rsidR="0000430C">
        <w:rPr>
          <w:rFonts w:ascii="Arial" w:hAnsi="Arial" w:cs="Arial"/>
          <w:i w:val="0"/>
          <w:sz w:val="22"/>
        </w:rPr>
        <w:t>s</w:t>
      </w:r>
      <w:r w:rsidR="00DF6071" w:rsidRPr="002F3BB0">
        <w:rPr>
          <w:rFonts w:ascii="Arial" w:hAnsi="Arial" w:cs="Arial"/>
          <w:i w:val="0"/>
          <w:sz w:val="22"/>
        </w:rPr>
        <w:t xml:space="preserve"> a free, accessible and personal </w:t>
      </w:r>
      <w:r w:rsidRPr="002F3BB0">
        <w:rPr>
          <w:rFonts w:ascii="Arial" w:hAnsi="Arial" w:cs="Arial"/>
          <w:i w:val="0"/>
          <w:sz w:val="22"/>
        </w:rPr>
        <w:t xml:space="preserve">telephone </w:t>
      </w:r>
      <w:r w:rsidR="00DF6071" w:rsidRPr="002F3BB0">
        <w:rPr>
          <w:rFonts w:ascii="Arial" w:hAnsi="Arial" w:cs="Arial"/>
          <w:i w:val="0"/>
          <w:sz w:val="22"/>
        </w:rPr>
        <w:t xml:space="preserve">information service for </w:t>
      </w:r>
      <w:r w:rsidR="0000430C">
        <w:rPr>
          <w:rFonts w:ascii="Arial" w:hAnsi="Arial" w:cs="Arial"/>
          <w:i w:val="0"/>
          <w:sz w:val="22"/>
        </w:rPr>
        <w:t xml:space="preserve">people in </w:t>
      </w:r>
      <w:r w:rsidR="00DF6071" w:rsidRPr="002F3BB0">
        <w:rPr>
          <w:rFonts w:ascii="Arial" w:hAnsi="Arial" w:cs="Arial"/>
          <w:i w:val="0"/>
          <w:sz w:val="22"/>
        </w:rPr>
        <w:t xml:space="preserve">Queensland to help them understand their rights and responsibilities under the Act. </w:t>
      </w:r>
      <w:r w:rsidR="00A8170D">
        <w:rPr>
          <w:rFonts w:ascii="Arial" w:hAnsi="Arial" w:cs="Arial"/>
          <w:i w:val="0"/>
          <w:sz w:val="22"/>
        </w:rPr>
        <w:t xml:space="preserve">The Commission’s </w:t>
      </w:r>
      <w:r w:rsidR="00DF6071" w:rsidRPr="002F3BB0">
        <w:rPr>
          <w:rFonts w:ascii="Arial" w:hAnsi="Arial" w:cs="Arial"/>
          <w:i w:val="0"/>
          <w:sz w:val="22"/>
        </w:rPr>
        <w:t xml:space="preserve">Brisbane office continues to take the bulk of enquiries </w:t>
      </w:r>
      <w:r w:rsidR="00C51E4E">
        <w:rPr>
          <w:rFonts w:ascii="Arial" w:hAnsi="Arial" w:cs="Arial"/>
          <w:i w:val="0"/>
          <w:sz w:val="22"/>
        </w:rPr>
        <w:t xml:space="preserve">from </w:t>
      </w:r>
      <w:r w:rsidR="00DF6071" w:rsidRPr="002F3BB0">
        <w:rPr>
          <w:rFonts w:ascii="Arial" w:hAnsi="Arial" w:cs="Arial"/>
          <w:i w:val="0"/>
          <w:sz w:val="22"/>
        </w:rPr>
        <w:t>across the state.</w:t>
      </w:r>
    </w:p>
    <w:p w:rsidR="00DF6071" w:rsidRPr="002F3BB0" w:rsidRDefault="00DF6071" w:rsidP="004C2DED">
      <w:pPr>
        <w:spacing w:before="120" w:after="240" w:line="240" w:lineRule="auto"/>
        <w:rPr>
          <w:rFonts w:ascii="Arial" w:hAnsi="Arial" w:cs="Arial"/>
          <w:i w:val="0"/>
          <w:sz w:val="22"/>
        </w:rPr>
      </w:pPr>
      <w:r w:rsidRPr="002F3BB0">
        <w:rPr>
          <w:rFonts w:ascii="Arial" w:hAnsi="Arial" w:cs="Arial"/>
          <w:i w:val="0"/>
          <w:sz w:val="22"/>
        </w:rPr>
        <w:lastRenderedPageBreak/>
        <w:t>This year the Commission answered 3</w:t>
      </w:r>
      <w:r w:rsidR="00BA0CFE">
        <w:rPr>
          <w:rFonts w:ascii="Arial" w:hAnsi="Arial" w:cs="Arial"/>
          <w:i w:val="0"/>
          <w:sz w:val="22"/>
        </w:rPr>
        <w:t>,</w:t>
      </w:r>
      <w:r w:rsidRPr="002F3BB0">
        <w:rPr>
          <w:rFonts w:ascii="Arial" w:hAnsi="Arial" w:cs="Arial"/>
          <w:i w:val="0"/>
          <w:sz w:val="22"/>
        </w:rPr>
        <w:t>265 telephone, email, postal and personal enquiries about anti-discrimination laws and how they apply. Most of the enquiries were from people who felt that they had been discriminated against, harassed or bullied and wanted to better understand their options before making a complaint or taking other action.</w:t>
      </w:r>
    </w:p>
    <w:p w:rsidR="00281685" w:rsidRPr="009A4581" w:rsidRDefault="00DF6071" w:rsidP="004C2DED">
      <w:pPr>
        <w:spacing w:before="120" w:after="0" w:line="240" w:lineRule="auto"/>
      </w:pPr>
      <w:r w:rsidRPr="002F3BB0">
        <w:rPr>
          <w:rFonts w:ascii="Arial" w:hAnsi="Arial" w:cs="Arial"/>
          <w:i w:val="0"/>
          <w:sz w:val="22"/>
        </w:rPr>
        <w:t>In response to the wide range of enquiries it receives, the Commission provides telephone information as well as a range of fact sheets, brochure</w:t>
      </w:r>
      <w:r w:rsidR="00BA0CFE">
        <w:rPr>
          <w:rFonts w:ascii="Arial" w:hAnsi="Arial" w:cs="Arial"/>
          <w:i w:val="0"/>
          <w:sz w:val="22"/>
        </w:rPr>
        <w:t>s</w:t>
      </w:r>
      <w:r w:rsidRPr="002F3BB0">
        <w:rPr>
          <w:rFonts w:ascii="Arial" w:hAnsi="Arial" w:cs="Arial"/>
          <w:i w:val="0"/>
          <w:sz w:val="22"/>
        </w:rPr>
        <w:t xml:space="preserve"> and videos which it makes available to the public through the website</w:t>
      </w:r>
      <w:r w:rsidR="00BA0CFE">
        <w:rPr>
          <w:rFonts w:ascii="Arial" w:hAnsi="Arial" w:cs="Arial"/>
          <w:i w:val="0"/>
          <w:sz w:val="22"/>
        </w:rPr>
        <w:t>,</w:t>
      </w:r>
      <w:r w:rsidRPr="002F3BB0">
        <w:rPr>
          <w:rFonts w:ascii="Arial" w:hAnsi="Arial" w:cs="Arial"/>
          <w:i w:val="0"/>
          <w:sz w:val="22"/>
        </w:rPr>
        <w:t xml:space="preserve"> email and by post.</w:t>
      </w:r>
      <w:r w:rsidR="00281685" w:rsidRPr="002F3BB0">
        <w:rPr>
          <w:rFonts w:ascii="Arial" w:hAnsi="Arial" w:cs="Arial"/>
          <w:i w:val="0"/>
          <w:sz w:val="22"/>
        </w:rPr>
        <w:t xml:space="preserve"> </w:t>
      </w:r>
      <w:r w:rsidR="00281685" w:rsidRPr="002F3BB0">
        <w:rPr>
          <w:i w:val="0"/>
          <w:sz w:val="22"/>
        </w:rPr>
        <w:t>This year the Commission completed a</w:t>
      </w:r>
      <w:r w:rsidR="00A8170D">
        <w:rPr>
          <w:i w:val="0"/>
          <w:sz w:val="22"/>
        </w:rPr>
        <w:t xml:space="preserve"> major</w:t>
      </w:r>
      <w:r w:rsidR="00281685" w:rsidRPr="002F3BB0">
        <w:rPr>
          <w:i w:val="0"/>
          <w:sz w:val="22"/>
        </w:rPr>
        <w:t xml:space="preserve"> update of its list of agencies to which clients may be referred for support and assistance with the many issues that they contact the Commission about. The referral list allows </w:t>
      </w:r>
      <w:r w:rsidR="000B0E26">
        <w:rPr>
          <w:i w:val="0"/>
          <w:sz w:val="22"/>
        </w:rPr>
        <w:t xml:space="preserve">Commission </w:t>
      </w:r>
      <w:r w:rsidR="00281685" w:rsidRPr="002F3BB0">
        <w:rPr>
          <w:i w:val="0"/>
          <w:sz w:val="22"/>
        </w:rPr>
        <w:t xml:space="preserve">staff to </w:t>
      </w:r>
      <w:r w:rsidR="000B0E26">
        <w:rPr>
          <w:i w:val="0"/>
          <w:sz w:val="22"/>
        </w:rPr>
        <w:t>effectively</w:t>
      </w:r>
      <w:r w:rsidR="000B0E26" w:rsidRPr="002F3BB0">
        <w:rPr>
          <w:i w:val="0"/>
          <w:sz w:val="22"/>
        </w:rPr>
        <w:t xml:space="preserve"> </w:t>
      </w:r>
      <w:r w:rsidR="00281685" w:rsidRPr="002F3BB0">
        <w:rPr>
          <w:i w:val="0"/>
          <w:sz w:val="22"/>
        </w:rPr>
        <w:t>direct clients to appropriate agencies that can best assist the</w:t>
      </w:r>
      <w:r w:rsidR="00A8170D">
        <w:rPr>
          <w:i w:val="0"/>
          <w:sz w:val="22"/>
        </w:rPr>
        <w:t>ir</w:t>
      </w:r>
      <w:r w:rsidR="00281685" w:rsidRPr="002F3BB0">
        <w:rPr>
          <w:i w:val="0"/>
          <w:sz w:val="22"/>
        </w:rPr>
        <w:t xml:space="preserve"> needs, including legal and advocacy services, counselling</w:t>
      </w:r>
      <w:r w:rsidR="000B0E26">
        <w:rPr>
          <w:i w:val="0"/>
          <w:sz w:val="22"/>
        </w:rPr>
        <w:t xml:space="preserve">, </w:t>
      </w:r>
      <w:r w:rsidR="00281685" w:rsidRPr="002F3BB0">
        <w:rPr>
          <w:i w:val="0"/>
          <w:sz w:val="22"/>
        </w:rPr>
        <w:t>support and other complaint</w:t>
      </w:r>
      <w:r w:rsidR="000B0E26">
        <w:rPr>
          <w:i w:val="0"/>
          <w:sz w:val="22"/>
        </w:rPr>
        <w:t>s</w:t>
      </w:r>
      <w:r w:rsidR="00281685" w:rsidRPr="002F3BB0">
        <w:rPr>
          <w:i w:val="0"/>
          <w:sz w:val="22"/>
        </w:rPr>
        <w:t xml:space="preserve"> agencies.</w:t>
      </w:r>
    </w:p>
    <w:p w:rsidR="0021773F" w:rsidRPr="002F3BB0" w:rsidRDefault="0021773F" w:rsidP="00BF30CC">
      <w:pPr>
        <w:pStyle w:val="Heading2"/>
        <w:rPr>
          <w:i/>
        </w:rPr>
      </w:pPr>
      <w:r w:rsidRPr="002F3BB0">
        <w:t>Marketing and promotion</w:t>
      </w:r>
    </w:p>
    <w:p w:rsidR="009B13AB" w:rsidRDefault="009B13AB" w:rsidP="00EA4252">
      <w:pPr>
        <w:spacing w:before="120" w:after="0" w:line="240" w:lineRule="auto"/>
        <w:rPr>
          <w:rFonts w:cstheme="minorHAnsi"/>
          <w:i w:val="0"/>
          <w:sz w:val="22"/>
          <w:szCs w:val="22"/>
        </w:rPr>
      </w:pPr>
      <w:r>
        <w:rPr>
          <w:rFonts w:cstheme="minorHAnsi"/>
          <w:i w:val="0"/>
          <w:sz w:val="22"/>
          <w:szCs w:val="22"/>
        </w:rPr>
        <w:t xml:space="preserve">The ADCQ mostly relies on our established and </w:t>
      </w:r>
      <w:r w:rsidRPr="002F3BB0">
        <w:rPr>
          <w:rFonts w:cstheme="minorHAnsi"/>
          <w:i w:val="0"/>
          <w:sz w:val="22"/>
          <w:szCs w:val="22"/>
        </w:rPr>
        <w:t>developing networks to communicate with stakeho</w:t>
      </w:r>
      <w:r>
        <w:rPr>
          <w:rFonts w:cstheme="minorHAnsi"/>
          <w:i w:val="0"/>
          <w:sz w:val="22"/>
          <w:szCs w:val="22"/>
        </w:rPr>
        <w:t xml:space="preserve">lders and the broader community, with occasional use of </w:t>
      </w:r>
      <w:r w:rsidRPr="002F3BB0">
        <w:rPr>
          <w:rFonts w:cstheme="minorHAnsi"/>
          <w:i w:val="0"/>
          <w:sz w:val="22"/>
          <w:szCs w:val="22"/>
        </w:rPr>
        <w:t>professional marketing services</w:t>
      </w:r>
      <w:r>
        <w:rPr>
          <w:rFonts w:cstheme="minorHAnsi"/>
          <w:i w:val="0"/>
          <w:sz w:val="22"/>
          <w:szCs w:val="22"/>
        </w:rPr>
        <w:t xml:space="preserve">. </w:t>
      </w:r>
    </w:p>
    <w:p w:rsidR="001142C2" w:rsidRPr="002F3BB0" w:rsidRDefault="0021773F" w:rsidP="00487E2B">
      <w:pPr>
        <w:spacing w:before="240" w:after="0" w:line="240" w:lineRule="auto"/>
        <w:rPr>
          <w:rFonts w:cstheme="minorHAnsi"/>
          <w:i w:val="0"/>
          <w:sz w:val="22"/>
          <w:szCs w:val="22"/>
        </w:rPr>
      </w:pPr>
      <w:r w:rsidRPr="002F3BB0">
        <w:rPr>
          <w:rFonts w:cstheme="minorHAnsi"/>
          <w:i w:val="0"/>
          <w:sz w:val="22"/>
          <w:szCs w:val="22"/>
        </w:rPr>
        <w:t xml:space="preserve">The ADCQ promotes not only the work and services of the Commission, but the positive human rights actions and initiatives of the Queensland community. The ADCQ web and social media pages are </w:t>
      </w:r>
      <w:r w:rsidR="009B13AB">
        <w:rPr>
          <w:rFonts w:cstheme="minorHAnsi"/>
          <w:i w:val="0"/>
          <w:sz w:val="22"/>
          <w:szCs w:val="22"/>
        </w:rPr>
        <w:t>used</w:t>
      </w:r>
      <w:r w:rsidR="009B13AB" w:rsidRPr="002F3BB0">
        <w:rPr>
          <w:rFonts w:cstheme="minorHAnsi"/>
          <w:i w:val="0"/>
          <w:sz w:val="22"/>
          <w:szCs w:val="22"/>
        </w:rPr>
        <w:t xml:space="preserve"> </w:t>
      </w:r>
      <w:r w:rsidRPr="002F3BB0">
        <w:rPr>
          <w:rFonts w:cstheme="minorHAnsi"/>
          <w:i w:val="0"/>
          <w:sz w:val="22"/>
          <w:szCs w:val="22"/>
        </w:rPr>
        <w:t xml:space="preserve">to highlight community events, activities and </w:t>
      </w:r>
      <w:r w:rsidR="009B13AB">
        <w:rPr>
          <w:rFonts w:cstheme="minorHAnsi"/>
          <w:i w:val="0"/>
          <w:sz w:val="22"/>
          <w:szCs w:val="22"/>
        </w:rPr>
        <w:t>stories</w:t>
      </w:r>
      <w:r w:rsidR="009B13AB" w:rsidRPr="002F3BB0">
        <w:rPr>
          <w:rFonts w:cstheme="minorHAnsi"/>
          <w:i w:val="0"/>
          <w:sz w:val="22"/>
          <w:szCs w:val="22"/>
        </w:rPr>
        <w:t xml:space="preserve"> </w:t>
      </w:r>
      <w:r w:rsidRPr="002F3BB0">
        <w:rPr>
          <w:rFonts w:cstheme="minorHAnsi"/>
          <w:i w:val="0"/>
          <w:sz w:val="22"/>
          <w:szCs w:val="22"/>
        </w:rPr>
        <w:t xml:space="preserve">of human rights leadership. This promotion </w:t>
      </w:r>
      <w:r w:rsidR="00EE4EC4">
        <w:rPr>
          <w:rFonts w:cstheme="minorHAnsi"/>
          <w:i w:val="0"/>
          <w:sz w:val="22"/>
          <w:szCs w:val="22"/>
        </w:rPr>
        <w:t>acknowledges</w:t>
      </w:r>
      <w:r w:rsidR="00EE4EC4" w:rsidRPr="002F3BB0">
        <w:rPr>
          <w:rFonts w:cstheme="minorHAnsi"/>
          <w:i w:val="0"/>
          <w:sz w:val="22"/>
          <w:szCs w:val="22"/>
        </w:rPr>
        <w:t xml:space="preserve"> </w:t>
      </w:r>
      <w:r w:rsidRPr="002F3BB0">
        <w:rPr>
          <w:rFonts w:cstheme="minorHAnsi"/>
          <w:i w:val="0"/>
          <w:sz w:val="22"/>
          <w:szCs w:val="22"/>
        </w:rPr>
        <w:t xml:space="preserve">the efforts of local human rights pioneers, as well as furthering discussion, action and collaboration on </w:t>
      </w:r>
      <w:r w:rsidR="00EE4EC4">
        <w:rPr>
          <w:rFonts w:cstheme="minorHAnsi"/>
          <w:i w:val="0"/>
          <w:sz w:val="22"/>
          <w:szCs w:val="22"/>
        </w:rPr>
        <w:t xml:space="preserve">human rights </w:t>
      </w:r>
      <w:r w:rsidRPr="002F3BB0">
        <w:rPr>
          <w:rFonts w:cstheme="minorHAnsi"/>
          <w:i w:val="0"/>
          <w:sz w:val="22"/>
          <w:szCs w:val="22"/>
        </w:rPr>
        <w:t>issues</w:t>
      </w:r>
      <w:r w:rsidR="00EE4EC4">
        <w:rPr>
          <w:rFonts w:cstheme="minorHAnsi"/>
          <w:i w:val="0"/>
          <w:sz w:val="22"/>
          <w:szCs w:val="22"/>
        </w:rPr>
        <w:t>, in line with our legislative function ‘to promote an understanding and acceptance, and the public discussion, of human rights in Queensland.’</w:t>
      </w:r>
    </w:p>
    <w:p w:rsidR="0021773F" w:rsidRPr="002F3BB0" w:rsidRDefault="0021773F" w:rsidP="00BF30CC">
      <w:pPr>
        <w:pStyle w:val="Heading2"/>
        <w:rPr>
          <w:i/>
        </w:rPr>
      </w:pPr>
      <w:r w:rsidRPr="002F3BB0">
        <w:t>Events</w:t>
      </w:r>
    </w:p>
    <w:p w:rsidR="0021773F" w:rsidRPr="002F3BB0" w:rsidRDefault="0021773F" w:rsidP="00EA4252">
      <w:pPr>
        <w:spacing w:before="120" w:after="0" w:line="240" w:lineRule="auto"/>
        <w:rPr>
          <w:rFonts w:cstheme="minorHAnsi"/>
          <w:i w:val="0"/>
          <w:sz w:val="22"/>
          <w:szCs w:val="22"/>
        </w:rPr>
      </w:pPr>
      <w:r w:rsidRPr="002F3BB0">
        <w:rPr>
          <w:rFonts w:cstheme="minorHAnsi"/>
          <w:i w:val="0"/>
          <w:sz w:val="22"/>
          <w:szCs w:val="22"/>
        </w:rPr>
        <w:t xml:space="preserve">Each year the ADCQ attends a variety of community events across the state. Having a presence at these events not only enables the Commission to share in the celebration and recognition of diversity and inclusion, but it raises awareness of the ADCQ and its role and makes information accessible to the community. In most </w:t>
      </w:r>
      <w:r w:rsidR="000D3BBE">
        <w:rPr>
          <w:rFonts w:cstheme="minorHAnsi"/>
          <w:i w:val="0"/>
          <w:sz w:val="22"/>
          <w:szCs w:val="22"/>
        </w:rPr>
        <w:t>cases</w:t>
      </w:r>
      <w:r w:rsidRPr="002F3BB0">
        <w:rPr>
          <w:rFonts w:cstheme="minorHAnsi"/>
          <w:i w:val="0"/>
          <w:sz w:val="22"/>
          <w:szCs w:val="22"/>
        </w:rPr>
        <w:t xml:space="preserve">, the ADCQ presence at community events is in the form of an information stall. On some occasions Commission </w:t>
      </w:r>
      <w:proofErr w:type="gramStart"/>
      <w:r w:rsidRPr="002F3BB0">
        <w:rPr>
          <w:rFonts w:cstheme="minorHAnsi"/>
          <w:i w:val="0"/>
          <w:sz w:val="22"/>
          <w:szCs w:val="22"/>
        </w:rPr>
        <w:t>staff are</w:t>
      </w:r>
      <w:proofErr w:type="gramEnd"/>
      <w:r w:rsidRPr="002F3BB0">
        <w:rPr>
          <w:rFonts w:cstheme="minorHAnsi"/>
          <w:i w:val="0"/>
          <w:sz w:val="22"/>
          <w:szCs w:val="22"/>
        </w:rPr>
        <w:t xml:space="preserve"> </w:t>
      </w:r>
      <w:r w:rsidR="000D3BBE">
        <w:rPr>
          <w:rFonts w:cstheme="minorHAnsi"/>
          <w:i w:val="0"/>
          <w:sz w:val="22"/>
          <w:szCs w:val="22"/>
        </w:rPr>
        <w:t>asked</w:t>
      </w:r>
      <w:r w:rsidRPr="002F3BB0">
        <w:rPr>
          <w:rFonts w:cstheme="minorHAnsi"/>
          <w:i w:val="0"/>
          <w:sz w:val="22"/>
          <w:szCs w:val="22"/>
        </w:rPr>
        <w:t xml:space="preserve"> to open events or undertake speaking engagements.</w:t>
      </w:r>
      <w:r w:rsidR="000D3BBE">
        <w:rPr>
          <w:rFonts w:cstheme="minorHAnsi"/>
          <w:i w:val="0"/>
          <w:sz w:val="22"/>
          <w:szCs w:val="22"/>
        </w:rPr>
        <w:t xml:space="preserve"> </w:t>
      </w:r>
      <w:r w:rsidRPr="002F3BB0">
        <w:rPr>
          <w:rFonts w:cstheme="minorHAnsi"/>
          <w:i w:val="0"/>
          <w:sz w:val="22"/>
          <w:szCs w:val="22"/>
        </w:rPr>
        <w:t xml:space="preserve">In regional areas, ADCQ staff members often </w:t>
      </w:r>
      <w:r w:rsidR="000D3BBE">
        <w:rPr>
          <w:rFonts w:cstheme="minorHAnsi"/>
          <w:i w:val="0"/>
          <w:sz w:val="22"/>
          <w:szCs w:val="22"/>
        </w:rPr>
        <w:t xml:space="preserve">have a significant involvement in </w:t>
      </w:r>
      <w:r w:rsidRPr="002F3BB0">
        <w:rPr>
          <w:rFonts w:cstheme="minorHAnsi"/>
          <w:i w:val="0"/>
          <w:sz w:val="22"/>
          <w:szCs w:val="22"/>
        </w:rPr>
        <w:t xml:space="preserve">planning and organising committees for </w:t>
      </w:r>
      <w:r w:rsidR="000D3BBE">
        <w:rPr>
          <w:rFonts w:cstheme="minorHAnsi"/>
          <w:i w:val="0"/>
          <w:sz w:val="22"/>
          <w:szCs w:val="22"/>
        </w:rPr>
        <w:t>major</w:t>
      </w:r>
      <w:r w:rsidR="000D3BBE" w:rsidRPr="002F3BB0">
        <w:rPr>
          <w:rFonts w:cstheme="minorHAnsi"/>
          <w:i w:val="0"/>
          <w:sz w:val="22"/>
          <w:szCs w:val="22"/>
        </w:rPr>
        <w:t xml:space="preserve"> </w:t>
      </w:r>
      <w:r w:rsidRPr="002F3BB0">
        <w:rPr>
          <w:rFonts w:cstheme="minorHAnsi"/>
          <w:i w:val="0"/>
          <w:sz w:val="22"/>
          <w:szCs w:val="22"/>
        </w:rPr>
        <w:t xml:space="preserve">community events. During the reporting period, </w:t>
      </w:r>
      <w:r w:rsidR="000D3BBE">
        <w:rPr>
          <w:rFonts w:cstheme="minorHAnsi"/>
          <w:i w:val="0"/>
          <w:sz w:val="22"/>
          <w:szCs w:val="22"/>
        </w:rPr>
        <w:t xml:space="preserve">ADCQ </w:t>
      </w:r>
      <w:proofErr w:type="gramStart"/>
      <w:r w:rsidRPr="002F3BB0">
        <w:rPr>
          <w:rFonts w:cstheme="minorHAnsi"/>
          <w:i w:val="0"/>
          <w:sz w:val="22"/>
          <w:szCs w:val="22"/>
        </w:rPr>
        <w:t>staff were</w:t>
      </w:r>
      <w:proofErr w:type="gramEnd"/>
      <w:r w:rsidRPr="002F3BB0">
        <w:rPr>
          <w:rFonts w:cstheme="minorHAnsi"/>
          <w:i w:val="0"/>
          <w:sz w:val="22"/>
          <w:szCs w:val="22"/>
        </w:rPr>
        <w:t xml:space="preserve"> involved in </w:t>
      </w:r>
      <w:r w:rsidR="009A4581">
        <w:rPr>
          <w:rFonts w:cstheme="minorHAnsi"/>
          <w:i w:val="0"/>
          <w:sz w:val="22"/>
          <w:szCs w:val="22"/>
        </w:rPr>
        <w:t>the following community events:</w:t>
      </w:r>
    </w:p>
    <w:p w:rsidR="00C11B09" w:rsidRPr="002F3BB0" w:rsidRDefault="00C11B09" w:rsidP="00A5281C">
      <w:pPr>
        <w:pStyle w:val="Caption"/>
        <w:keepNext/>
        <w:spacing w:before="240" w:after="240" w:line="240" w:lineRule="auto"/>
        <w:rPr>
          <w:color w:val="595959" w:themeColor="accent2" w:themeShade="80"/>
          <w:sz w:val="22"/>
        </w:rPr>
      </w:pPr>
      <w:r w:rsidRPr="002F3BB0">
        <w:rPr>
          <w:color w:val="595959" w:themeColor="accent2" w:themeShade="80"/>
          <w:sz w:val="22"/>
        </w:rPr>
        <w:t xml:space="preserve">Table </w:t>
      </w:r>
      <w:r w:rsidR="0033101E">
        <w:rPr>
          <w:color w:val="595959" w:themeColor="accent2" w:themeShade="80"/>
          <w:sz w:val="22"/>
        </w:rPr>
        <w:t>4</w:t>
      </w:r>
      <w:r w:rsidR="006B1FCA">
        <w:rPr>
          <w:color w:val="595959" w:themeColor="accent2" w:themeShade="80"/>
          <w:sz w:val="22"/>
        </w:rPr>
        <w:t>:</w:t>
      </w:r>
      <w:r w:rsidRPr="002F3BB0">
        <w:rPr>
          <w:color w:val="595959" w:themeColor="accent2" w:themeShade="80"/>
          <w:sz w:val="22"/>
        </w:rPr>
        <w:t xml:space="preserve"> Community events</w:t>
      </w:r>
    </w:p>
    <w:tbl>
      <w:tblPr>
        <w:tblStyle w:val="TableGrid"/>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Description w:val="Community events list"/>
      </w:tblPr>
      <w:tblGrid>
        <w:gridCol w:w="2895"/>
        <w:gridCol w:w="306"/>
        <w:gridCol w:w="2875"/>
        <w:gridCol w:w="306"/>
        <w:gridCol w:w="2883"/>
      </w:tblGrid>
      <w:tr w:rsidR="0021773F" w:rsidRPr="002F3BB0" w:rsidTr="00487E2B">
        <w:trPr>
          <w:tblCellSpacing w:w="20" w:type="dxa"/>
          <w:jc w:val="center"/>
        </w:trPr>
        <w:tc>
          <w:tcPr>
            <w:tcW w:w="2835" w:type="dxa"/>
          </w:tcPr>
          <w:p w:rsidR="0021773F" w:rsidRPr="002F3BB0" w:rsidRDefault="00AD14C6"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Citizenship ceremonies in Cairns, Townsville and Rockhampton</w:t>
            </w:r>
          </w:p>
        </w:tc>
        <w:tc>
          <w:tcPr>
            <w:tcW w:w="266" w:type="dxa"/>
          </w:tcPr>
          <w:p w:rsidR="0021773F" w:rsidRPr="002F3BB0" w:rsidRDefault="0021773F" w:rsidP="002A0F92">
            <w:pPr>
              <w:spacing w:before="20" w:after="20"/>
              <w:rPr>
                <w:rFonts w:cstheme="minorHAnsi"/>
                <w:i w:val="0"/>
                <w:sz w:val="22"/>
                <w:szCs w:val="22"/>
              </w:rPr>
            </w:pPr>
          </w:p>
        </w:tc>
        <w:tc>
          <w:tcPr>
            <w:tcW w:w="2835" w:type="dxa"/>
          </w:tcPr>
          <w:p w:rsidR="0021773F" w:rsidRPr="002F3BB0" w:rsidRDefault="00AD14C6"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Multicultural festivals in Mareeba, Townsville, Rockhampton, Lockyer Valley and Cairns</w:t>
            </w:r>
          </w:p>
        </w:tc>
        <w:tc>
          <w:tcPr>
            <w:tcW w:w="266" w:type="dxa"/>
          </w:tcPr>
          <w:p w:rsidR="0021773F" w:rsidRPr="002F3BB0" w:rsidRDefault="0021773F" w:rsidP="002A0F92">
            <w:pPr>
              <w:spacing w:before="20" w:after="20"/>
              <w:rPr>
                <w:rFonts w:cstheme="minorHAnsi"/>
                <w:i w:val="0"/>
                <w:sz w:val="22"/>
                <w:szCs w:val="22"/>
              </w:rPr>
            </w:pPr>
          </w:p>
        </w:tc>
        <w:tc>
          <w:tcPr>
            <w:tcW w:w="2823" w:type="dxa"/>
          </w:tcPr>
          <w:p w:rsidR="0021773F" w:rsidRPr="003243FE" w:rsidRDefault="00F90438" w:rsidP="00487E2B">
            <w:pPr>
              <w:pStyle w:val="ListParagraph"/>
              <w:numPr>
                <w:ilvl w:val="0"/>
                <w:numId w:val="12"/>
              </w:numPr>
              <w:ind w:left="153" w:hanging="153"/>
              <w:rPr>
                <w:rFonts w:cstheme="minorHAnsi"/>
                <w:i w:val="0"/>
                <w:sz w:val="22"/>
                <w:szCs w:val="22"/>
              </w:rPr>
            </w:pPr>
            <w:r w:rsidRPr="003243FE">
              <w:rPr>
                <w:rFonts w:cstheme="minorHAnsi"/>
                <w:i w:val="0"/>
                <w:sz w:val="22"/>
                <w:szCs w:val="22"/>
              </w:rPr>
              <w:t>NAIDOC week events, Brisbane, Ipswich, Rockhampton, Townsville and Cairns</w:t>
            </w:r>
          </w:p>
        </w:tc>
      </w:tr>
      <w:tr w:rsidR="0021773F" w:rsidRPr="002F3BB0" w:rsidTr="00487E2B">
        <w:trPr>
          <w:tblCellSpacing w:w="20" w:type="dxa"/>
          <w:jc w:val="center"/>
        </w:trPr>
        <w:tc>
          <w:tcPr>
            <w:tcW w:w="2835" w:type="dxa"/>
          </w:tcPr>
          <w:p w:rsidR="0021773F" w:rsidRPr="002F3BB0" w:rsidRDefault="00AD14C6"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Long Walk to Freedom, Townsville</w:t>
            </w:r>
          </w:p>
        </w:tc>
        <w:tc>
          <w:tcPr>
            <w:tcW w:w="266" w:type="dxa"/>
          </w:tcPr>
          <w:p w:rsidR="0021773F" w:rsidRPr="002F3BB0" w:rsidRDefault="0021773F" w:rsidP="002A0F92">
            <w:pPr>
              <w:spacing w:before="20" w:after="20"/>
              <w:rPr>
                <w:rFonts w:cstheme="minorHAnsi"/>
                <w:i w:val="0"/>
                <w:sz w:val="22"/>
                <w:szCs w:val="22"/>
              </w:rPr>
            </w:pPr>
          </w:p>
        </w:tc>
        <w:tc>
          <w:tcPr>
            <w:tcW w:w="2835" w:type="dxa"/>
          </w:tcPr>
          <w:p w:rsidR="0021773F" w:rsidRPr="002F3BB0" w:rsidRDefault="00AD14C6"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 xml:space="preserve">Harmony Day events in </w:t>
            </w:r>
            <w:r w:rsidR="0021773F" w:rsidRPr="002F3BB0">
              <w:rPr>
                <w:rFonts w:cstheme="minorHAnsi"/>
                <w:i w:val="0"/>
                <w:sz w:val="22"/>
                <w:szCs w:val="22"/>
              </w:rPr>
              <w:t>Townsville and Cairns</w:t>
            </w:r>
          </w:p>
        </w:tc>
        <w:tc>
          <w:tcPr>
            <w:tcW w:w="266" w:type="dxa"/>
          </w:tcPr>
          <w:p w:rsidR="0021773F" w:rsidRPr="002F3BB0" w:rsidRDefault="0021773F" w:rsidP="002A0F92">
            <w:pPr>
              <w:spacing w:before="20" w:after="20"/>
              <w:rPr>
                <w:rFonts w:cstheme="minorHAnsi"/>
                <w:i w:val="0"/>
                <w:sz w:val="22"/>
                <w:szCs w:val="22"/>
              </w:rPr>
            </w:pPr>
          </w:p>
        </w:tc>
        <w:tc>
          <w:tcPr>
            <w:tcW w:w="2823" w:type="dxa"/>
          </w:tcPr>
          <w:p w:rsidR="0021773F" w:rsidRPr="002F3BB0" w:rsidRDefault="00AD14C6"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Refugee Week events in Brisbane and Townsville</w:t>
            </w:r>
          </w:p>
        </w:tc>
      </w:tr>
      <w:tr w:rsidR="0021773F" w:rsidRPr="002F3BB0" w:rsidTr="00487E2B">
        <w:trPr>
          <w:tblCellSpacing w:w="20" w:type="dxa"/>
          <w:jc w:val="center"/>
        </w:trPr>
        <w:tc>
          <w:tcPr>
            <w:tcW w:w="2835" w:type="dxa"/>
          </w:tcPr>
          <w:p w:rsidR="0021773F" w:rsidRPr="002F3BB0" w:rsidRDefault="001826BD" w:rsidP="00487E2B">
            <w:pPr>
              <w:pStyle w:val="ListParagraph"/>
              <w:numPr>
                <w:ilvl w:val="0"/>
                <w:numId w:val="12"/>
              </w:numPr>
              <w:spacing w:before="20" w:after="20"/>
              <w:ind w:left="153" w:hanging="153"/>
              <w:contextualSpacing w:val="0"/>
              <w:rPr>
                <w:rFonts w:cstheme="minorHAnsi"/>
                <w:i w:val="0"/>
                <w:sz w:val="22"/>
                <w:szCs w:val="22"/>
              </w:rPr>
            </w:pPr>
            <w:r w:rsidRPr="007826EB">
              <w:rPr>
                <w:rFonts w:cstheme="minorHAnsi"/>
                <w:i w:val="0"/>
                <w:sz w:val="22"/>
                <w:szCs w:val="22"/>
              </w:rPr>
              <w:t>University open days, Cairns and Townsville</w:t>
            </w:r>
          </w:p>
        </w:tc>
        <w:tc>
          <w:tcPr>
            <w:tcW w:w="266" w:type="dxa"/>
          </w:tcPr>
          <w:p w:rsidR="0021773F" w:rsidRPr="002F3BB0" w:rsidRDefault="0021773F" w:rsidP="002A0F92">
            <w:pPr>
              <w:spacing w:before="20" w:after="20"/>
              <w:rPr>
                <w:rFonts w:cstheme="minorHAnsi"/>
                <w:i w:val="0"/>
                <w:sz w:val="22"/>
                <w:szCs w:val="22"/>
              </w:rPr>
            </w:pPr>
          </w:p>
        </w:tc>
        <w:tc>
          <w:tcPr>
            <w:tcW w:w="2835" w:type="dxa"/>
          </w:tcPr>
          <w:p w:rsidR="0021773F" w:rsidRPr="002F3BB0" w:rsidRDefault="00F90438"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FOGS employment expo, Brisbane, Rockhampton, Townsville and Cairns</w:t>
            </w:r>
          </w:p>
        </w:tc>
        <w:tc>
          <w:tcPr>
            <w:tcW w:w="266" w:type="dxa"/>
          </w:tcPr>
          <w:p w:rsidR="0021773F" w:rsidRPr="002F3BB0" w:rsidRDefault="0021773F" w:rsidP="002A0F92">
            <w:pPr>
              <w:spacing w:before="20" w:after="20"/>
              <w:rPr>
                <w:rFonts w:cstheme="minorHAnsi"/>
                <w:i w:val="0"/>
                <w:sz w:val="22"/>
                <w:szCs w:val="22"/>
              </w:rPr>
            </w:pPr>
          </w:p>
        </w:tc>
        <w:tc>
          <w:tcPr>
            <w:tcW w:w="2823" w:type="dxa"/>
          </w:tcPr>
          <w:p w:rsidR="0021773F" w:rsidRPr="002F3BB0" w:rsidRDefault="00F90438"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Smart Futures 4 North Queensland Career Expo</w:t>
            </w:r>
          </w:p>
        </w:tc>
      </w:tr>
      <w:tr w:rsidR="0021773F" w:rsidRPr="002F3BB0" w:rsidTr="00487E2B">
        <w:trPr>
          <w:tblCellSpacing w:w="20" w:type="dxa"/>
          <w:jc w:val="center"/>
        </w:trPr>
        <w:tc>
          <w:tcPr>
            <w:tcW w:w="2835" w:type="dxa"/>
          </w:tcPr>
          <w:p w:rsidR="0021773F" w:rsidRPr="002F3BB0" w:rsidRDefault="00AD14C6"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International Women’s Day events in Brisbane, Rockhampton and Cairn</w:t>
            </w:r>
            <w:r w:rsidR="001826BD">
              <w:rPr>
                <w:rFonts w:cstheme="minorHAnsi"/>
                <w:i w:val="0"/>
                <w:sz w:val="22"/>
                <w:szCs w:val="22"/>
              </w:rPr>
              <w:t>s</w:t>
            </w:r>
          </w:p>
        </w:tc>
        <w:tc>
          <w:tcPr>
            <w:tcW w:w="266" w:type="dxa"/>
          </w:tcPr>
          <w:p w:rsidR="0021773F" w:rsidRPr="002F3BB0" w:rsidRDefault="0021773F" w:rsidP="002A0F92">
            <w:pPr>
              <w:spacing w:before="20" w:after="20"/>
              <w:rPr>
                <w:rFonts w:cstheme="minorHAnsi"/>
                <w:i w:val="0"/>
                <w:sz w:val="22"/>
                <w:szCs w:val="22"/>
              </w:rPr>
            </w:pPr>
          </w:p>
        </w:tc>
        <w:tc>
          <w:tcPr>
            <w:tcW w:w="2835" w:type="dxa"/>
          </w:tcPr>
          <w:p w:rsidR="0021773F" w:rsidRPr="002F3BB0" w:rsidRDefault="00F90438"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Is Everybody Here</w:t>
            </w:r>
            <w:r w:rsidR="00E350FD">
              <w:rPr>
                <w:rFonts w:cstheme="minorHAnsi"/>
                <w:i w:val="0"/>
                <w:sz w:val="22"/>
                <w:szCs w:val="22"/>
              </w:rPr>
              <w:t>?</w:t>
            </w:r>
            <w:r w:rsidRPr="002F3BB0">
              <w:rPr>
                <w:rFonts w:cstheme="minorHAnsi"/>
                <w:i w:val="0"/>
                <w:sz w:val="22"/>
                <w:szCs w:val="22"/>
              </w:rPr>
              <w:t xml:space="preserve"> – Disability Action Week inclusive community event, Brisbane</w:t>
            </w:r>
          </w:p>
        </w:tc>
        <w:tc>
          <w:tcPr>
            <w:tcW w:w="266" w:type="dxa"/>
          </w:tcPr>
          <w:p w:rsidR="0021773F" w:rsidRPr="002F3BB0" w:rsidRDefault="0021773F" w:rsidP="002A0F92">
            <w:pPr>
              <w:spacing w:before="20" w:after="20"/>
              <w:rPr>
                <w:rFonts w:cstheme="minorHAnsi"/>
                <w:i w:val="0"/>
                <w:sz w:val="22"/>
                <w:szCs w:val="22"/>
              </w:rPr>
            </w:pPr>
          </w:p>
        </w:tc>
        <w:tc>
          <w:tcPr>
            <w:tcW w:w="2823" w:type="dxa"/>
          </w:tcPr>
          <w:p w:rsidR="0021773F" w:rsidRPr="002F3BB0" w:rsidRDefault="001826BD"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International Human Rights Day in Cairns, Townsville and Rockhampton</w:t>
            </w:r>
          </w:p>
        </w:tc>
      </w:tr>
      <w:tr w:rsidR="0021773F" w:rsidRPr="002F3BB0" w:rsidTr="00487E2B">
        <w:trPr>
          <w:tblCellSpacing w:w="20" w:type="dxa"/>
          <w:jc w:val="center"/>
        </w:trPr>
        <w:tc>
          <w:tcPr>
            <w:tcW w:w="2835" w:type="dxa"/>
          </w:tcPr>
          <w:p w:rsidR="0021773F" w:rsidRPr="007826EB" w:rsidRDefault="001826BD" w:rsidP="00487E2B">
            <w:pPr>
              <w:pStyle w:val="ListParagraph"/>
              <w:numPr>
                <w:ilvl w:val="0"/>
                <w:numId w:val="12"/>
              </w:numPr>
              <w:ind w:left="153" w:hanging="153"/>
              <w:rPr>
                <w:rFonts w:cstheme="minorHAnsi"/>
                <w:i w:val="0"/>
                <w:sz w:val="22"/>
                <w:szCs w:val="22"/>
              </w:rPr>
            </w:pPr>
            <w:r>
              <w:rPr>
                <w:rFonts w:cstheme="minorHAnsi"/>
                <w:i w:val="0"/>
                <w:sz w:val="22"/>
                <w:szCs w:val="22"/>
              </w:rPr>
              <w:t>Homeless Connect, Rockhampton</w:t>
            </w:r>
          </w:p>
        </w:tc>
        <w:tc>
          <w:tcPr>
            <w:tcW w:w="266" w:type="dxa"/>
          </w:tcPr>
          <w:p w:rsidR="0021773F" w:rsidRPr="002F3BB0" w:rsidRDefault="0021773F" w:rsidP="002A0F92">
            <w:pPr>
              <w:spacing w:before="20" w:after="20"/>
              <w:rPr>
                <w:rFonts w:cstheme="minorHAnsi"/>
                <w:i w:val="0"/>
                <w:sz w:val="22"/>
                <w:szCs w:val="22"/>
              </w:rPr>
            </w:pPr>
          </w:p>
        </w:tc>
        <w:tc>
          <w:tcPr>
            <w:tcW w:w="2835" w:type="dxa"/>
          </w:tcPr>
          <w:p w:rsidR="0021773F" w:rsidRPr="002F3BB0" w:rsidRDefault="00F90438"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Pride Fair Day, Brisbane</w:t>
            </w:r>
          </w:p>
        </w:tc>
        <w:tc>
          <w:tcPr>
            <w:tcW w:w="266" w:type="dxa"/>
          </w:tcPr>
          <w:p w:rsidR="0021773F" w:rsidRPr="002F3BB0" w:rsidRDefault="0021773F" w:rsidP="002A0F92">
            <w:pPr>
              <w:spacing w:before="20" w:after="20"/>
              <w:rPr>
                <w:rFonts w:cstheme="minorHAnsi"/>
                <w:i w:val="0"/>
                <w:sz w:val="22"/>
                <w:szCs w:val="22"/>
              </w:rPr>
            </w:pPr>
          </w:p>
        </w:tc>
        <w:tc>
          <w:tcPr>
            <w:tcW w:w="2823" w:type="dxa"/>
          </w:tcPr>
          <w:p w:rsidR="0021773F" w:rsidRPr="002F3BB0" w:rsidRDefault="0021773F"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Accessibility Crawl, Rockhampton</w:t>
            </w:r>
          </w:p>
        </w:tc>
      </w:tr>
      <w:tr w:rsidR="0021773F" w:rsidRPr="002F3BB0" w:rsidTr="00487E2B">
        <w:trPr>
          <w:tblCellSpacing w:w="20" w:type="dxa"/>
          <w:jc w:val="center"/>
        </w:trPr>
        <w:tc>
          <w:tcPr>
            <w:tcW w:w="2835" w:type="dxa"/>
          </w:tcPr>
          <w:p w:rsidR="0021773F" w:rsidRPr="002F3BB0" w:rsidRDefault="00AD14C6"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Positive Ageing Fair, Cairns</w:t>
            </w:r>
          </w:p>
        </w:tc>
        <w:tc>
          <w:tcPr>
            <w:tcW w:w="266" w:type="dxa"/>
          </w:tcPr>
          <w:p w:rsidR="0021773F" w:rsidRPr="002F3BB0" w:rsidRDefault="0021773F" w:rsidP="002A0F92">
            <w:pPr>
              <w:spacing w:before="20" w:after="20"/>
              <w:rPr>
                <w:rFonts w:cstheme="minorHAnsi"/>
                <w:i w:val="0"/>
                <w:sz w:val="22"/>
                <w:szCs w:val="22"/>
              </w:rPr>
            </w:pPr>
          </w:p>
        </w:tc>
        <w:tc>
          <w:tcPr>
            <w:tcW w:w="2835" w:type="dxa"/>
          </w:tcPr>
          <w:p w:rsidR="0021773F" w:rsidRPr="002F3BB0" w:rsidRDefault="00AD14C6"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QCOMP Return to Work Expo, Brisbane</w:t>
            </w:r>
          </w:p>
        </w:tc>
        <w:tc>
          <w:tcPr>
            <w:tcW w:w="266" w:type="dxa"/>
          </w:tcPr>
          <w:p w:rsidR="0021773F" w:rsidRPr="002F3BB0" w:rsidRDefault="0021773F" w:rsidP="002A0F92">
            <w:pPr>
              <w:spacing w:before="20" w:after="20"/>
              <w:rPr>
                <w:rFonts w:cstheme="minorHAnsi"/>
                <w:i w:val="0"/>
                <w:sz w:val="22"/>
                <w:szCs w:val="22"/>
              </w:rPr>
            </w:pPr>
          </w:p>
        </w:tc>
        <w:tc>
          <w:tcPr>
            <w:tcW w:w="2823" w:type="dxa"/>
          </w:tcPr>
          <w:p w:rsidR="0021773F" w:rsidRPr="002F3BB0" w:rsidRDefault="00F90438" w:rsidP="00487E2B">
            <w:pPr>
              <w:pStyle w:val="ListParagraph"/>
              <w:numPr>
                <w:ilvl w:val="0"/>
                <w:numId w:val="12"/>
              </w:numPr>
              <w:spacing w:before="20" w:after="20"/>
              <w:ind w:left="153" w:hanging="153"/>
              <w:contextualSpacing w:val="0"/>
              <w:rPr>
                <w:rFonts w:cstheme="minorHAnsi"/>
                <w:i w:val="0"/>
                <w:sz w:val="22"/>
                <w:szCs w:val="22"/>
              </w:rPr>
            </w:pPr>
            <w:r w:rsidRPr="002F3BB0">
              <w:rPr>
                <w:rFonts w:cstheme="minorHAnsi"/>
                <w:i w:val="0"/>
                <w:sz w:val="22"/>
                <w:szCs w:val="22"/>
              </w:rPr>
              <w:t>Law Week, Rockhampton</w:t>
            </w:r>
          </w:p>
        </w:tc>
      </w:tr>
    </w:tbl>
    <w:p w:rsidR="0021773F" w:rsidRPr="002F3BB0" w:rsidRDefault="00113415" w:rsidP="00EA4252">
      <w:pPr>
        <w:spacing w:before="240" w:after="0" w:line="240" w:lineRule="auto"/>
        <w:rPr>
          <w:rFonts w:cstheme="minorHAnsi"/>
          <w:i w:val="0"/>
          <w:sz w:val="22"/>
          <w:szCs w:val="22"/>
        </w:rPr>
      </w:pPr>
      <w:r>
        <w:rPr>
          <w:rFonts w:cstheme="minorHAnsi"/>
          <w:i w:val="0"/>
          <w:sz w:val="22"/>
          <w:szCs w:val="22"/>
        </w:rPr>
        <w:lastRenderedPageBreak/>
        <w:t>Major</w:t>
      </w:r>
      <w:r w:rsidRPr="002F3BB0">
        <w:rPr>
          <w:rFonts w:cstheme="minorHAnsi"/>
          <w:i w:val="0"/>
          <w:sz w:val="22"/>
          <w:szCs w:val="22"/>
        </w:rPr>
        <w:t xml:space="preserve"> </w:t>
      </w:r>
      <w:r w:rsidR="0021773F" w:rsidRPr="002F3BB0">
        <w:rPr>
          <w:rFonts w:cstheme="minorHAnsi"/>
          <w:i w:val="0"/>
          <w:sz w:val="22"/>
          <w:szCs w:val="22"/>
        </w:rPr>
        <w:t>events which ADCQ hosted or co-hosted in 201</w:t>
      </w:r>
      <w:r w:rsidR="00F90438" w:rsidRPr="002F3BB0">
        <w:rPr>
          <w:rFonts w:cstheme="minorHAnsi"/>
          <w:i w:val="0"/>
          <w:sz w:val="22"/>
          <w:szCs w:val="22"/>
        </w:rPr>
        <w:t>3</w:t>
      </w:r>
      <w:r w:rsidR="0021773F" w:rsidRPr="002F3BB0">
        <w:rPr>
          <w:rFonts w:cstheme="minorHAnsi"/>
          <w:i w:val="0"/>
          <w:sz w:val="22"/>
          <w:szCs w:val="22"/>
        </w:rPr>
        <w:t>-1</w:t>
      </w:r>
      <w:r w:rsidR="00F90438" w:rsidRPr="002F3BB0">
        <w:rPr>
          <w:rFonts w:cstheme="minorHAnsi"/>
          <w:i w:val="0"/>
          <w:sz w:val="22"/>
          <w:szCs w:val="22"/>
        </w:rPr>
        <w:t>4</w:t>
      </w:r>
      <w:r w:rsidR="009A4581">
        <w:rPr>
          <w:rFonts w:cstheme="minorHAnsi"/>
          <w:i w:val="0"/>
          <w:sz w:val="22"/>
          <w:szCs w:val="22"/>
        </w:rPr>
        <w:t xml:space="preserve"> include:</w:t>
      </w:r>
    </w:p>
    <w:p w:rsidR="0021773F" w:rsidRPr="00EA4252" w:rsidRDefault="008A01AF" w:rsidP="00BF30CC">
      <w:pPr>
        <w:pStyle w:val="Heading2"/>
        <w:rPr>
          <w:i/>
        </w:rPr>
      </w:pPr>
      <w:r w:rsidRPr="00EA4252">
        <w:t>Beach Day Out</w:t>
      </w:r>
    </w:p>
    <w:p w:rsidR="00C4131F" w:rsidRPr="002F3BB0" w:rsidRDefault="00C4131F" w:rsidP="00EA4252">
      <w:pPr>
        <w:spacing w:after="120" w:line="240" w:lineRule="auto"/>
        <w:rPr>
          <w:rFonts w:cstheme="minorHAnsi"/>
          <w:i w:val="0"/>
          <w:sz w:val="22"/>
          <w:szCs w:val="22"/>
        </w:rPr>
      </w:pPr>
      <w:r w:rsidRPr="002F3BB0">
        <w:rPr>
          <w:rFonts w:cstheme="minorHAnsi"/>
          <w:i w:val="0"/>
          <w:sz w:val="22"/>
          <w:szCs w:val="22"/>
        </w:rPr>
        <w:t>As part of Disability Action week celebrations in September 2013, the ADCQ Rockhampton office hosted</w:t>
      </w:r>
      <w:r w:rsidR="00113415">
        <w:rPr>
          <w:rFonts w:cstheme="minorHAnsi"/>
          <w:i w:val="0"/>
          <w:sz w:val="22"/>
          <w:szCs w:val="22"/>
        </w:rPr>
        <w:t xml:space="preserve"> the</w:t>
      </w:r>
      <w:r w:rsidRPr="002F3BB0">
        <w:rPr>
          <w:rFonts w:cstheme="minorHAnsi"/>
          <w:i w:val="0"/>
          <w:sz w:val="22"/>
          <w:szCs w:val="22"/>
        </w:rPr>
        <w:t xml:space="preserve"> </w:t>
      </w:r>
      <w:r w:rsidRPr="007826EB">
        <w:rPr>
          <w:rFonts w:cstheme="minorHAnsi"/>
          <w:sz w:val="22"/>
          <w:szCs w:val="22"/>
        </w:rPr>
        <w:t>Beach Day Out</w:t>
      </w:r>
      <w:r w:rsidRPr="002F3BB0">
        <w:rPr>
          <w:rFonts w:cstheme="minorHAnsi"/>
          <w:i w:val="0"/>
          <w:sz w:val="22"/>
          <w:szCs w:val="22"/>
        </w:rPr>
        <w:t xml:space="preserve"> event on </w:t>
      </w:r>
      <w:r w:rsidR="009A4581">
        <w:rPr>
          <w:rFonts w:cstheme="minorHAnsi"/>
          <w:i w:val="0"/>
          <w:sz w:val="22"/>
          <w:szCs w:val="22"/>
        </w:rPr>
        <w:t>Yeppoon’s main beach foreshore.</w:t>
      </w:r>
    </w:p>
    <w:p w:rsidR="00C4131F" w:rsidRPr="002F3BB0" w:rsidRDefault="00C4131F" w:rsidP="00EA4252">
      <w:pPr>
        <w:spacing w:before="240" w:after="120" w:line="240" w:lineRule="auto"/>
        <w:rPr>
          <w:i w:val="0"/>
          <w:sz w:val="22"/>
          <w:szCs w:val="22"/>
        </w:rPr>
      </w:pPr>
      <w:r w:rsidRPr="002F3BB0">
        <w:rPr>
          <w:i w:val="0"/>
          <w:sz w:val="22"/>
          <w:szCs w:val="22"/>
        </w:rPr>
        <w:t>The event aim</w:t>
      </w:r>
      <w:r w:rsidR="0012142A">
        <w:rPr>
          <w:i w:val="0"/>
          <w:sz w:val="22"/>
          <w:szCs w:val="22"/>
        </w:rPr>
        <w:t>s</w:t>
      </w:r>
      <w:r w:rsidRPr="002F3BB0">
        <w:rPr>
          <w:i w:val="0"/>
          <w:sz w:val="22"/>
          <w:szCs w:val="22"/>
        </w:rPr>
        <w:t xml:space="preserve"> to:</w:t>
      </w:r>
    </w:p>
    <w:p w:rsidR="00C4131F" w:rsidRPr="00EA4252" w:rsidRDefault="00113415" w:rsidP="00EA4252">
      <w:pPr>
        <w:numPr>
          <w:ilvl w:val="0"/>
          <w:numId w:val="13"/>
        </w:numPr>
        <w:spacing w:before="120" w:after="0" w:line="240" w:lineRule="auto"/>
        <w:ind w:left="357" w:hanging="357"/>
        <w:rPr>
          <w:rFonts w:eastAsia="Times New Roman" w:cstheme="minorHAnsi"/>
          <w:i w:val="0"/>
          <w:sz w:val="22"/>
          <w:szCs w:val="22"/>
          <w:lang w:eastAsia="en-AU"/>
        </w:rPr>
      </w:pPr>
      <w:r w:rsidRPr="00EA4252">
        <w:rPr>
          <w:rFonts w:eastAsia="Times New Roman" w:cstheme="minorHAnsi"/>
          <w:i w:val="0"/>
          <w:sz w:val="22"/>
          <w:szCs w:val="22"/>
          <w:lang w:eastAsia="en-AU"/>
        </w:rPr>
        <w:t>p</w:t>
      </w:r>
      <w:r w:rsidR="00C4131F" w:rsidRPr="00EA4252">
        <w:rPr>
          <w:rFonts w:eastAsia="Times New Roman" w:cstheme="minorHAnsi"/>
          <w:i w:val="0"/>
          <w:sz w:val="22"/>
          <w:szCs w:val="22"/>
          <w:lang w:eastAsia="en-AU"/>
        </w:rPr>
        <w:t xml:space="preserve">romote inclusiveness, break down stereotypes and provide a fun community event in </w:t>
      </w:r>
      <w:r w:rsidR="009A4581" w:rsidRPr="00EA4252">
        <w:rPr>
          <w:rFonts w:eastAsia="Times New Roman" w:cstheme="minorHAnsi"/>
          <w:i w:val="0"/>
          <w:sz w:val="22"/>
          <w:szCs w:val="22"/>
          <w:lang w:eastAsia="en-AU"/>
        </w:rPr>
        <w:t>which everyone can participate;</w:t>
      </w:r>
    </w:p>
    <w:p w:rsidR="00C4131F" w:rsidRPr="00EA4252" w:rsidRDefault="00113415" w:rsidP="00EA4252">
      <w:pPr>
        <w:numPr>
          <w:ilvl w:val="0"/>
          <w:numId w:val="13"/>
        </w:numPr>
        <w:spacing w:before="120" w:after="0" w:line="240" w:lineRule="auto"/>
        <w:ind w:left="357" w:hanging="357"/>
        <w:rPr>
          <w:rFonts w:eastAsia="Times New Roman" w:cstheme="minorHAnsi"/>
          <w:i w:val="0"/>
          <w:sz w:val="22"/>
          <w:szCs w:val="22"/>
          <w:lang w:eastAsia="en-AU"/>
        </w:rPr>
      </w:pPr>
      <w:r w:rsidRPr="00EA4252">
        <w:rPr>
          <w:rFonts w:eastAsia="Times New Roman" w:cstheme="minorHAnsi"/>
          <w:i w:val="0"/>
          <w:sz w:val="22"/>
          <w:szCs w:val="22"/>
          <w:lang w:eastAsia="en-AU"/>
        </w:rPr>
        <w:t>h</w:t>
      </w:r>
      <w:r w:rsidR="00C4131F" w:rsidRPr="00EA4252">
        <w:rPr>
          <w:rFonts w:eastAsia="Times New Roman" w:cstheme="minorHAnsi"/>
          <w:i w:val="0"/>
          <w:sz w:val="22"/>
          <w:szCs w:val="22"/>
          <w:lang w:eastAsia="en-AU"/>
        </w:rPr>
        <w:t>ighlight issues that impact on peoples’ ability to readily access services and facilities in the community</w:t>
      </w:r>
      <w:r w:rsidRPr="00EA4252">
        <w:rPr>
          <w:rFonts w:eastAsia="Times New Roman" w:cstheme="minorHAnsi"/>
          <w:i w:val="0"/>
          <w:sz w:val="22"/>
          <w:szCs w:val="22"/>
          <w:lang w:eastAsia="en-AU"/>
        </w:rPr>
        <w:t>;</w:t>
      </w:r>
      <w:r w:rsidR="009C47BF" w:rsidRPr="00EA4252">
        <w:rPr>
          <w:rFonts w:eastAsia="Times New Roman" w:cstheme="minorHAnsi"/>
          <w:i w:val="0"/>
          <w:sz w:val="22"/>
          <w:szCs w:val="22"/>
          <w:lang w:eastAsia="en-AU"/>
        </w:rPr>
        <w:t xml:space="preserve"> and</w:t>
      </w:r>
    </w:p>
    <w:p w:rsidR="00C4131F" w:rsidRPr="00EA4252" w:rsidRDefault="00113415" w:rsidP="00EA4252">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EA4252">
        <w:rPr>
          <w:rFonts w:eastAsia="Times New Roman" w:cstheme="minorHAnsi"/>
          <w:i w:val="0"/>
          <w:sz w:val="22"/>
          <w:szCs w:val="22"/>
          <w:lang w:eastAsia="en-AU"/>
        </w:rPr>
        <w:t>i</w:t>
      </w:r>
      <w:r w:rsidR="00C4131F" w:rsidRPr="00EA4252">
        <w:rPr>
          <w:rFonts w:eastAsia="Times New Roman" w:cstheme="minorHAnsi"/>
          <w:i w:val="0"/>
          <w:sz w:val="22"/>
          <w:szCs w:val="22"/>
          <w:lang w:eastAsia="en-AU"/>
        </w:rPr>
        <w:t>mprove</w:t>
      </w:r>
      <w:proofErr w:type="gramEnd"/>
      <w:r w:rsidR="00C4131F" w:rsidRPr="00EA4252">
        <w:rPr>
          <w:rFonts w:eastAsia="Times New Roman" w:cstheme="minorHAnsi"/>
          <w:i w:val="0"/>
          <w:sz w:val="22"/>
          <w:szCs w:val="22"/>
          <w:lang w:eastAsia="en-AU"/>
        </w:rPr>
        <w:t xml:space="preserve"> community support and understanding of those with a disability by providing information, linking of service providers and developing partnersh</w:t>
      </w:r>
      <w:r w:rsidR="009A4581" w:rsidRPr="00EA4252">
        <w:rPr>
          <w:rFonts w:eastAsia="Times New Roman" w:cstheme="minorHAnsi"/>
          <w:i w:val="0"/>
          <w:sz w:val="22"/>
          <w:szCs w:val="22"/>
          <w:lang w:eastAsia="en-AU"/>
        </w:rPr>
        <w:t>ips between agencies.</w:t>
      </w:r>
    </w:p>
    <w:p w:rsidR="00C4131F" w:rsidRPr="002F3BB0" w:rsidRDefault="00C4131F" w:rsidP="00EA4252">
      <w:pPr>
        <w:spacing w:before="240" w:after="0" w:line="240" w:lineRule="auto"/>
        <w:rPr>
          <w:rFonts w:cstheme="minorHAnsi"/>
          <w:i w:val="0"/>
          <w:sz w:val="22"/>
          <w:szCs w:val="22"/>
        </w:rPr>
      </w:pPr>
      <w:r w:rsidRPr="002F3BB0">
        <w:rPr>
          <w:rFonts w:cstheme="minorHAnsi"/>
          <w:i w:val="0"/>
          <w:sz w:val="22"/>
          <w:szCs w:val="22"/>
        </w:rPr>
        <w:t>This free all-inclusive community event was the second of its kind and attracted over 500 people.</w:t>
      </w:r>
      <w:r w:rsidR="003E4476">
        <w:rPr>
          <w:rFonts w:cstheme="minorHAnsi"/>
          <w:i w:val="0"/>
          <w:sz w:val="22"/>
          <w:szCs w:val="22"/>
        </w:rPr>
        <w:t xml:space="preserve"> </w:t>
      </w:r>
      <w:r w:rsidRPr="002F3BB0">
        <w:rPr>
          <w:rFonts w:cstheme="minorHAnsi"/>
          <w:i w:val="0"/>
          <w:sz w:val="22"/>
          <w:szCs w:val="22"/>
        </w:rPr>
        <w:t>The growing success of Beach Day Out will se</w:t>
      </w:r>
      <w:r w:rsidR="009A4581">
        <w:rPr>
          <w:rFonts w:cstheme="minorHAnsi"/>
          <w:i w:val="0"/>
          <w:sz w:val="22"/>
          <w:szCs w:val="22"/>
        </w:rPr>
        <w:t>e the event repeated in 2014.</w:t>
      </w:r>
    </w:p>
    <w:p w:rsidR="00F90438" w:rsidRPr="00EA4252" w:rsidRDefault="008A01AF" w:rsidP="00BF30CC">
      <w:pPr>
        <w:pStyle w:val="Heading2"/>
        <w:rPr>
          <w:i/>
        </w:rPr>
      </w:pPr>
      <w:r w:rsidRPr="00EA4252">
        <w:t>Robert Jones Oration</w:t>
      </w:r>
    </w:p>
    <w:p w:rsidR="00CF013D" w:rsidRPr="002F3BB0" w:rsidRDefault="00F90438" w:rsidP="005039E8">
      <w:pPr>
        <w:tabs>
          <w:tab w:val="num" w:pos="709"/>
        </w:tabs>
        <w:spacing w:before="120" w:after="0" w:line="240" w:lineRule="auto"/>
        <w:rPr>
          <w:rFonts w:ascii="Arial" w:hAnsi="Arial" w:cs="Arial"/>
          <w:i w:val="0"/>
          <w:sz w:val="22"/>
          <w:shd w:val="clear" w:color="auto" w:fill="FFFFFF"/>
        </w:rPr>
      </w:pPr>
      <w:r w:rsidRPr="002F3BB0">
        <w:rPr>
          <w:rFonts w:ascii="Arial" w:hAnsi="Arial" w:cs="Arial"/>
          <w:i w:val="0"/>
          <w:sz w:val="22"/>
          <w:shd w:val="clear" w:color="auto" w:fill="FFFFFF"/>
        </w:rPr>
        <w:t xml:space="preserve">In partnership with Spinal Injuries Australia, the Commission held the inaugural Robert Jones Oration on 8 May 2014. </w:t>
      </w:r>
      <w:r w:rsidR="00CE46AA" w:rsidRPr="002F3BB0">
        <w:rPr>
          <w:rFonts w:ascii="Arial" w:hAnsi="Arial" w:cs="Arial"/>
          <w:i w:val="0"/>
          <w:sz w:val="22"/>
          <w:shd w:val="clear" w:color="auto" w:fill="FFFFFF"/>
        </w:rPr>
        <w:t xml:space="preserve"> </w:t>
      </w:r>
      <w:r w:rsidR="00CF013D" w:rsidRPr="002F3BB0">
        <w:rPr>
          <w:rFonts w:ascii="Arial" w:hAnsi="Arial" w:cs="Arial"/>
          <w:i w:val="0"/>
          <w:sz w:val="22"/>
          <w:shd w:val="clear" w:color="auto" w:fill="FFFFFF"/>
        </w:rPr>
        <w:t xml:space="preserve">The event </w:t>
      </w:r>
      <w:r w:rsidR="0012142A">
        <w:rPr>
          <w:rFonts w:ascii="Arial" w:hAnsi="Arial" w:cs="Arial"/>
          <w:i w:val="0"/>
          <w:sz w:val="22"/>
          <w:shd w:val="clear" w:color="auto" w:fill="FFFFFF"/>
        </w:rPr>
        <w:t>aims</w:t>
      </w:r>
      <w:r w:rsidR="00CF013D" w:rsidRPr="002F3BB0">
        <w:rPr>
          <w:rFonts w:ascii="Arial" w:hAnsi="Arial" w:cs="Arial"/>
          <w:i w:val="0"/>
          <w:sz w:val="22"/>
          <w:shd w:val="clear" w:color="auto" w:fill="FFFFFF"/>
        </w:rPr>
        <w:t xml:space="preserve"> to positive</w:t>
      </w:r>
      <w:r w:rsidR="003E4476">
        <w:rPr>
          <w:rFonts w:ascii="Arial" w:hAnsi="Arial" w:cs="Arial"/>
          <w:i w:val="0"/>
          <w:sz w:val="22"/>
          <w:shd w:val="clear" w:color="auto" w:fill="FFFFFF"/>
        </w:rPr>
        <w:t>ly</w:t>
      </w:r>
      <w:r w:rsidR="00CF013D" w:rsidRPr="002F3BB0">
        <w:rPr>
          <w:rFonts w:ascii="Arial" w:hAnsi="Arial" w:cs="Arial"/>
          <w:i w:val="0"/>
          <w:sz w:val="22"/>
          <w:shd w:val="clear" w:color="auto" w:fill="FFFFFF"/>
        </w:rPr>
        <w:t xml:space="preserve"> influence public thinking in relation to the creation of communities</w:t>
      </w:r>
      <w:r w:rsidR="0012142A">
        <w:rPr>
          <w:rFonts w:ascii="Arial" w:hAnsi="Arial" w:cs="Arial"/>
          <w:i w:val="0"/>
          <w:sz w:val="22"/>
          <w:shd w:val="clear" w:color="auto" w:fill="FFFFFF"/>
        </w:rPr>
        <w:t xml:space="preserve"> that are fully inclusive</w:t>
      </w:r>
      <w:r w:rsidR="00CF013D" w:rsidRPr="002F3BB0">
        <w:rPr>
          <w:rFonts w:ascii="Arial" w:hAnsi="Arial" w:cs="Arial"/>
          <w:i w:val="0"/>
          <w:sz w:val="22"/>
          <w:shd w:val="clear" w:color="auto" w:fill="FFFFFF"/>
        </w:rPr>
        <w:t xml:space="preserve"> for everyone. The event also honours and celebrates the contributions of the late Robert Jones, who was a strong advocate for inclusivity and accessibility, particularly in relation to promoting t</w:t>
      </w:r>
      <w:r w:rsidR="009A4581">
        <w:rPr>
          <w:rFonts w:ascii="Arial" w:hAnsi="Arial" w:cs="Arial"/>
          <w:i w:val="0"/>
          <w:sz w:val="22"/>
          <w:shd w:val="clear" w:color="auto" w:fill="FFFFFF"/>
        </w:rPr>
        <w:t>he concept of universal design.</w:t>
      </w:r>
    </w:p>
    <w:p w:rsidR="00CF013D" w:rsidRPr="002F3BB0" w:rsidRDefault="00CF013D" w:rsidP="005039E8">
      <w:pPr>
        <w:tabs>
          <w:tab w:val="num" w:pos="709"/>
        </w:tabs>
        <w:spacing w:before="240" w:after="0" w:line="240" w:lineRule="auto"/>
        <w:rPr>
          <w:rFonts w:ascii="Arial" w:hAnsi="Arial" w:cs="Arial"/>
          <w:i w:val="0"/>
          <w:sz w:val="22"/>
          <w:shd w:val="clear" w:color="auto" w:fill="FFFFFF"/>
        </w:rPr>
      </w:pPr>
      <w:r w:rsidRPr="002F3BB0">
        <w:rPr>
          <w:rFonts w:ascii="Arial" w:hAnsi="Arial" w:cs="Arial"/>
          <w:i w:val="0"/>
          <w:sz w:val="22"/>
          <w:shd w:val="clear" w:color="auto" w:fill="FFFFFF"/>
        </w:rPr>
        <w:t xml:space="preserve">The inaugural Robert Jones Oration was delivered by Dr Margaret Ward. Titled </w:t>
      </w:r>
      <w:r w:rsidRPr="002F3BB0">
        <w:rPr>
          <w:rFonts w:ascii="Arial" w:hAnsi="Arial" w:cs="Arial"/>
          <w:sz w:val="22"/>
          <w:shd w:val="clear" w:color="auto" w:fill="FFFFFF"/>
        </w:rPr>
        <w:t xml:space="preserve">Getting in the door: the public interest in the design </w:t>
      </w:r>
      <w:r w:rsidRPr="00A63103">
        <w:rPr>
          <w:rFonts w:ascii="Arial" w:hAnsi="Arial" w:cs="Arial"/>
          <w:sz w:val="22"/>
          <w:shd w:val="clear" w:color="auto" w:fill="FFFFFF"/>
        </w:rPr>
        <w:t>of private housing</w:t>
      </w:r>
      <w:r w:rsidRPr="00A63103">
        <w:rPr>
          <w:rFonts w:ascii="Arial" w:hAnsi="Arial" w:cs="Arial"/>
          <w:i w:val="0"/>
          <w:sz w:val="22"/>
          <w:shd w:val="clear" w:color="auto" w:fill="FFFFFF"/>
        </w:rPr>
        <w:t>, the paper focussed on the role housing plays in everyone’s life</w:t>
      </w:r>
      <w:r w:rsidR="00113415">
        <w:rPr>
          <w:rFonts w:ascii="Arial" w:hAnsi="Arial" w:cs="Arial"/>
          <w:i w:val="0"/>
          <w:sz w:val="22"/>
          <w:shd w:val="clear" w:color="auto" w:fill="FFFFFF"/>
        </w:rPr>
        <w:t>,</w:t>
      </w:r>
      <w:r w:rsidR="0012142A" w:rsidRPr="00A63103">
        <w:rPr>
          <w:rFonts w:ascii="Arial" w:hAnsi="Arial" w:cs="Arial"/>
          <w:i w:val="0"/>
          <w:sz w:val="22"/>
          <w:shd w:val="clear" w:color="auto" w:fill="FFFFFF"/>
        </w:rPr>
        <w:t xml:space="preserve"> and the need to transform building practices to provide minimum access features in all new housing</w:t>
      </w:r>
      <w:r w:rsidRPr="00A63103">
        <w:rPr>
          <w:rFonts w:ascii="Arial" w:hAnsi="Arial" w:cs="Arial"/>
          <w:i w:val="0"/>
          <w:sz w:val="22"/>
          <w:shd w:val="clear" w:color="auto" w:fill="FFFFFF"/>
        </w:rPr>
        <w:t>.</w:t>
      </w:r>
      <w:r w:rsidR="0012142A" w:rsidRPr="00A63103">
        <w:rPr>
          <w:rFonts w:ascii="Arial" w:hAnsi="Arial" w:cs="Arial"/>
          <w:i w:val="0"/>
          <w:sz w:val="22"/>
          <w:shd w:val="clear" w:color="auto" w:fill="FFFFFF"/>
        </w:rPr>
        <w:t xml:space="preserve"> The event was attended by</w:t>
      </w:r>
      <w:r w:rsidR="00A63103" w:rsidRPr="00A63103">
        <w:rPr>
          <w:rFonts w:ascii="Arial" w:hAnsi="Arial" w:cs="Arial"/>
          <w:i w:val="0"/>
          <w:sz w:val="22"/>
          <w:shd w:val="clear" w:color="auto" w:fill="FFFFFF"/>
        </w:rPr>
        <w:t xml:space="preserve"> 100</w:t>
      </w:r>
      <w:r w:rsidR="00A63103">
        <w:rPr>
          <w:rFonts w:ascii="Arial" w:hAnsi="Arial" w:cs="Arial"/>
          <w:i w:val="0"/>
          <w:sz w:val="22"/>
          <w:shd w:val="clear" w:color="auto" w:fill="FFFFFF"/>
        </w:rPr>
        <w:t xml:space="preserve"> </w:t>
      </w:r>
      <w:r w:rsidR="00A63103" w:rsidRPr="00A63103">
        <w:rPr>
          <w:rFonts w:ascii="Arial" w:hAnsi="Arial" w:cs="Arial"/>
          <w:i w:val="0"/>
          <w:sz w:val="22"/>
          <w:shd w:val="clear" w:color="auto" w:fill="FFFFFF"/>
        </w:rPr>
        <w:t>p</w:t>
      </w:r>
      <w:r w:rsidR="0012142A" w:rsidRPr="00A63103">
        <w:rPr>
          <w:rFonts w:ascii="Arial" w:hAnsi="Arial" w:cs="Arial"/>
          <w:i w:val="0"/>
          <w:sz w:val="22"/>
          <w:shd w:val="clear" w:color="auto" w:fill="FFFFFF"/>
        </w:rPr>
        <w:t>eople, and has generated significant discussion about the need to develop a sustainable, cost-effective strategy to address the issues.</w:t>
      </w:r>
    </w:p>
    <w:p w:rsidR="008A01AF" w:rsidRPr="002F3BB0" w:rsidRDefault="008A01AF" w:rsidP="00BF30CC">
      <w:pPr>
        <w:pStyle w:val="Heading2"/>
        <w:rPr>
          <w:i/>
        </w:rPr>
      </w:pPr>
      <w:r w:rsidRPr="002F3BB0">
        <w:t>Cairns Inclusive Sports and Games Day</w:t>
      </w:r>
    </w:p>
    <w:p w:rsidR="00C4131F" w:rsidRPr="002F3BB0" w:rsidRDefault="00D45C72" w:rsidP="005039E8">
      <w:pPr>
        <w:spacing w:before="120" w:after="0" w:line="240" w:lineRule="auto"/>
        <w:rPr>
          <w:rFonts w:cstheme="minorHAnsi"/>
          <w:b/>
          <w:i w:val="0"/>
          <w:szCs w:val="22"/>
        </w:rPr>
      </w:pPr>
      <w:r>
        <w:rPr>
          <w:rFonts w:ascii="Arial" w:hAnsi="Arial"/>
          <w:i w:val="0"/>
          <w:sz w:val="22"/>
        </w:rPr>
        <w:t>In September 2013 t</w:t>
      </w:r>
      <w:r w:rsidR="00CF013D" w:rsidRPr="002F3BB0">
        <w:rPr>
          <w:rFonts w:ascii="Arial" w:hAnsi="Arial"/>
          <w:i w:val="0"/>
          <w:sz w:val="22"/>
        </w:rPr>
        <w:t xml:space="preserve">he Cairns office of the ADCQ partnered with Sporting Wheelies Association and Cairns Regional Council to host an inclusive sports and games day. </w:t>
      </w:r>
      <w:r w:rsidR="00C4131F" w:rsidRPr="002F3BB0">
        <w:rPr>
          <w:rFonts w:ascii="Arial" w:hAnsi="Arial"/>
          <w:i w:val="0"/>
          <w:sz w:val="22"/>
        </w:rPr>
        <w:t>The day engaged people with and without disabilities who played together in three different sports</w:t>
      </w:r>
      <w:r w:rsidR="00684163" w:rsidRPr="002F3BB0">
        <w:rPr>
          <w:rFonts w:ascii="Arial" w:hAnsi="Arial"/>
          <w:i w:val="0"/>
          <w:sz w:val="22"/>
        </w:rPr>
        <w:t xml:space="preserve"> - </w:t>
      </w:r>
      <w:r w:rsidR="00C4131F" w:rsidRPr="002F3BB0">
        <w:rPr>
          <w:rFonts w:ascii="Arial" w:hAnsi="Arial"/>
          <w:i w:val="0"/>
          <w:sz w:val="22"/>
        </w:rPr>
        <w:t xml:space="preserve">wheelchair </w:t>
      </w:r>
      <w:r w:rsidR="00684163" w:rsidRPr="002F3BB0">
        <w:rPr>
          <w:rFonts w:ascii="Arial" w:hAnsi="Arial"/>
          <w:i w:val="0"/>
          <w:sz w:val="22"/>
        </w:rPr>
        <w:t xml:space="preserve">basketball, goal ball and </w:t>
      </w:r>
      <w:proofErr w:type="spellStart"/>
      <w:r w:rsidR="00113415">
        <w:rPr>
          <w:rFonts w:ascii="Arial" w:hAnsi="Arial"/>
          <w:i w:val="0"/>
          <w:sz w:val="22"/>
        </w:rPr>
        <w:t>b</w:t>
      </w:r>
      <w:r w:rsidR="00684163" w:rsidRPr="002F3BB0">
        <w:rPr>
          <w:rFonts w:ascii="Arial" w:hAnsi="Arial"/>
          <w:i w:val="0"/>
          <w:sz w:val="22"/>
        </w:rPr>
        <w:t>occia</w:t>
      </w:r>
      <w:proofErr w:type="spellEnd"/>
      <w:r w:rsidR="00C4131F" w:rsidRPr="002F3BB0">
        <w:rPr>
          <w:rFonts w:ascii="Arial" w:hAnsi="Arial"/>
          <w:i w:val="0"/>
          <w:sz w:val="22"/>
        </w:rPr>
        <w:t xml:space="preserve">.  </w:t>
      </w:r>
      <w:r w:rsidR="00684163" w:rsidRPr="002F3BB0">
        <w:rPr>
          <w:rFonts w:ascii="Arial" w:hAnsi="Arial"/>
          <w:i w:val="0"/>
          <w:sz w:val="22"/>
        </w:rPr>
        <w:t>The event</w:t>
      </w:r>
      <w:r>
        <w:rPr>
          <w:rFonts w:ascii="Arial" w:hAnsi="Arial"/>
          <w:i w:val="0"/>
          <w:sz w:val="22"/>
        </w:rPr>
        <w:t xml:space="preserve"> which was attended by approximately 60 </w:t>
      </w:r>
      <w:r w:rsidR="00113415">
        <w:rPr>
          <w:rFonts w:ascii="Arial" w:hAnsi="Arial"/>
          <w:i w:val="0"/>
          <w:sz w:val="22"/>
        </w:rPr>
        <w:t xml:space="preserve">community </w:t>
      </w:r>
      <w:proofErr w:type="gramStart"/>
      <w:r>
        <w:rPr>
          <w:rFonts w:ascii="Arial" w:hAnsi="Arial"/>
          <w:i w:val="0"/>
          <w:sz w:val="22"/>
        </w:rPr>
        <w:t>members</w:t>
      </w:r>
      <w:proofErr w:type="gramEnd"/>
      <w:r>
        <w:rPr>
          <w:rFonts w:ascii="Arial" w:hAnsi="Arial"/>
          <w:i w:val="0"/>
          <w:sz w:val="22"/>
        </w:rPr>
        <w:t xml:space="preserve"> community</w:t>
      </w:r>
      <w:r w:rsidR="00684163" w:rsidRPr="002F3BB0">
        <w:rPr>
          <w:rFonts w:ascii="Arial" w:hAnsi="Arial"/>
          <w:i w:val="0"/>
          <w:sz w:val="22"/>
        </w:rPr>
        <w:t xml:space="preserve"> highlight</w:t>
      </w:r>
      <w:r>
        <w:rPr>
          <w:rFonts w:ascii="Arial" w:hAnsi="Arial"/>
          <w:i w:val="0"/>
          <w:sz w:val="22"/>
        </w:rPr>
        <w:t>ed</w:t>
      </w:r>
      <w:r w:rsidR="00684163" w:rsidRPr="002F3BB0">
        <w:rPr>
          <w:rFonts w:ascii="Arial" w:hAnsi="Arial"/>
          <w:i w:val="0"/>
          <w:sz w:val="22"/>
        </w:rPr>
        <w:t xml:space="preserve"> the importance of inclusion, challenge</w:t>
      </w:r>
      <w:r>
        <w:rPr>
          <w:rFonts w:ascii="Arial" w:hAnsi="Arial"/>
          <w:i w:val="0"/>
          <w:sz w:val="22"/>
        </w:rPr>
        <w:t>d</w:t>
      </w:r>
      <w:r w:rsidR="00684163" w:rsidRPr="002F3BB0">
        <w:rPr>
          <w:rFonts w:ascii="Arial" w:hAnsi="Arial"/>
          <w:i w:val="0"/>
          <w:sz w:val="22"/>
        </w:rPr>
        <w:t xml:space="preserve"> stereotypes about people with disability and acknowledge</w:t>
      </w:r>
      <w:r>
        <w:rPr>
          <w:rFonts w:ascii="Arial" w:hAnsi="Arial"/>
          <w:i w:val="0"/>
          <w:sz w:val="22"/>
        </w:rPr>
        <w:t>d</w:t>
      </w:r>
      <w:r w:rsidR="00684163" w:rsidRPr="002F3BB0">
        <w:rPr>
          <w:rFonts w:ascii="Arial" w:hAnsi="Arial"/>
          <w:i w:val="0"/>
          <w:sz w:val="22"/>
        </w:rPr>
        <w:t xml:space="preserve"> the skills and resilien</w:t>
      </w:r>
      <w:r w:rsidR="009A4581">
        <w:rPr>
          <w:rFonts w:ascii="Arial" w:hAnsi="Arial"/>
          <w:i w:val="0"/>
          <w:sz w:val="22"/>
        </w:rPr>
        <w:t>ce of people with disabilities.</w:t>
      </w:r>
    </w:p>
    <w:p w:rsidR="0021773F" w:rsidRPr="002F3BB0" w:rsidRDefault="0021773F" w:rsidP="00BF30CC">
      <w:pPr>
        <w:pStyle w:val="Heading2"/>
        <w:rPr>
          <w:i/>
        </w:rPr>
      </w:pPr>
      <w:r w:rsidRPr="002F3BB0">
        <w:t>Media</w:t>
      </w:r>
    </w:p>
    <w:p w:rsidR="0021773F" w:rsidRPr="002F3BB0" w:rsidRDefault="00012727" w:rsidP="005039E8">
      <w:pPr>
        <w:spacing w:after="120" w:line="240" w:lineRule="auto"/>
        <w:rPr>
          <w:rFonts w:cstheme="minorHAnsi"/>
          <w:i w:val="0"/>
          <w:sz w:val="22"/>
          <w:szCs w:val="22"/>
        </w:rPr>
      </w:pPr>
      <w:r w:rsidRPr="002F3BB0">
        <w:rPr>
          <w:rFonts w:cstheme="minorHAnsi"/>
          <w:i w:val="0"/>
          <w:sz w:val="22"/>
          <w:szCs w:val="22"/>
        </w:rPr>
        <w:t>In 2013</w:t>
      </w:r>
      <w:r w:rsidR="0021773F" w:rsidRPr="002F3BB0">
        <w:rPr>
          <w:rFonts w:cstheme="minorHAnsi"/>
          <w:i w:val="0"/>
          <w:sz w:val="22"/>
          <w:szCs w:val="22"/>
        </w:rPr>
        <w:t>-1</w:t>
      </w:r>
      <w:r w:rsidRPr="002F3BB0">
        <w:rPr>
          <w:rFonts w:cstheme="minorHAnsi"/>
          <w:i w:val="0"/>
          <w:sz w:val="22"/>
          <w:szCs w:val="22"/>
        </w:rPr>
        <w:t>4</w:t>
      </w:r>
      <w:r w:rsidR="0021773F" w:rsidRPr="002F3BB0">
        <w:rPr>
          <w:rFonts w:cstheme="minorHAnsi"/>
          <w:i w:val="0"/>
          <w:sz w:val="22"/>
          <w:szCs w:val="22"/>
        </w:rPr>
        <w:t>, the ADCQ provided information and public comment to a variety of mainstream, regional and indepen</w:t>
      </w:r>
      <w:r w:rsidRPr="002F3BB0">
        <w:rPr>
          <w:rFonts w:cstheme="minorHAnsi"/>
          <w:i w:val="0"/>
          <w:sz w:val="22"/>
          <w:szCs w:val="22"/>
        </w:rPr>
        <w:t xml:space="preserve">dent media </w:t>
      </w:r>
      <w:r w:rsidR="0061742A">
        <w:rPr>
          <w:rFonts w:cstheme="minorHAnsi"/>
          <w:i w:val="0"/>
          <w:sz w:val="22"/>
          <w:szCs w:val="22"/>
        </w:rPr>
        <w:t>outlets</w:t>
      </w:r>
      <w:r w:rsidR="0061742A" w:rsidRPr="002F3BB0">
        <w:rPr>
          <w:rFonts w:cstheme="minorHAnsi"/>
          <w:i w:val="0"/>
          <w:sz w:val="22"/>
          <w:szCs w:val="22"/>
        </w:rPr>
        <w:t xml:space="preserve"> </w:t>
      </w:r>
      <w:r w:rsidRPr="002F3BB0">
        <w:rPr>
          <w:rFonts w:cstheme="minorHAnsi"/>
          <w:i w:val="0"/>
          <w:sz w:val="22"/>
          <w:szCs w:val="22"/>
        </w:rPr>
        <w:t xml:space="preserve">including 4ZZZ, ABC and SBS radio, </w:t>
      </w:r>
      <w:r w:rsidR="00D0567F" w:rsidRPr="003243FE">
        <w:rPr>
          <w:rFonts w:cstheme="minorHAnsi"/>
          <w:sz w:val="22"/>
          <w:szCs w:val="22"/>
        </w:rPr>
        <w:t>T</w:t>
      </w:r>
      <w:r w:rsidRPr="003243FE">
        <w:rPr>
          <w:rFonts w:cstheme="minorHAnsi"/>
          <w:sz w:val="22"/>
          <w:szCs w:val="22"/>
        </w:rPr>
        <w:t>he Courier-Mail</w:t>
      </w:r>
      <w:r w:rsidRPr="002F3BB0">
        <w:rPr>
          <w:rFonts w:cstheme="minorHAnsi"/>
          <w:i w:val="0"/>
          <w:sz w:val="22"/>
          <w:szCs w:val="22"/>
        </w:rPr>
        <w:t xml:space="preserve">, </w:t>
      </w:r>
      <w:r w:rsidRPr="003243FE">
        <w:rPr>
          <w:rFonts w:cstheme="minorHAnsi"/>
          <w:sz w:val="22"/>
          <w:szCs w:val="22"/>
        </w:rPr>
        <w:t>Capricorn Coast Mirror</w:t>
      </w:r>
      <w:r w:rsidRPr="002F3BB0">
        <w:rPr>
          <w:rFonts w:cstheme="minorHAnsi"/>
          <w:i w:val="0"/>
          <w:sz w:val="22"/>
          <w:szCs w:val="22"/>
        </w:rPr>
        <w:t xml:space="preserve">, </w:t>
      </w:r>
      <w:r w:rsidRPr="003243FE">
        <w:rPr>
          <w:rFonts w:cstheme="minorHAnsi"/>
          <w:sz w:val="22"/>
          <w:szCs w:val="22"/>
        </w:rPr>
        <w:t>Gold Coast Bulletin</w:t>
      </w:r>
      <w:r w:rsidRPr="002F3BB0">
        <w:rPr>
          <w:rFonts w:cstheme="minorHAnsi"/>
          <w:i w:val="0"/>
          <w:sz w:val="22"/>
          <w:szCs w:val="22"/>
        </w:rPr>
        <w:t xml:space="preserve">, </w:t>
      </w:r>
      <w:r w:rsidR="00D0567F" w:rsidRPr="003243FE">
        <w:rPr>
          <w:rFonts w:cstheme="minorHAnsi"/>
          <w:sz w:val="22"/>
          <w:szCs w:val="22"/>
        </w:rPr>
        <w:t xml:space="preserve">The </w:t>
      </w:r>
      <w:r w:rsidRPr="003243FE">
        <w:rPr>
          <w:rFonts w:cstheme="minorHAnsi"/>
          <w:sz w:val="22"/>
          <w:szCs w:val="22"/>
        </w:rPr>
        <w:t>Sunday Mail</w:t>
      </w:r>
      <w:r w:rsidRPr="002F3BB0">
        <w:rPr>
          <w:rFonts w:cstheme="minorHAnsi"/>
          <w:i w:val="0"/>
          <w:sz w:val="22"/>
          <w:szCs w:val="22"/>
        </w:rPr>
        <w:t xml:space="preserve">, </w:t>
      </w:r>
      <w:r w:rsidR="00D0567F" w:rsidRPr="003243FE">
        <w:rPr>
          <w:rFonts w:cstheme="minorHAnsi"/>
          <w:sz w:val="22"/>
          <w:szCs w:val="22"/>
        </w:rPr>
        <w:t>T</w:t>
      </w:r>
      <w:r w:rsidRPr="003243FE">
        <w:rPr>
          <w:rFonts w:cstheme="minorHAnsi"/>
          <w:sz w:val="22"/>
          <w:szCs w:val="22"/>
        </w:rPr>
        <w:t>he Cairns Post</w:t>
      </w:r>
      <w:r w:rsidRPr="002F3BB0">
        <w:rPr>
          <w:rFonts w:cstheme="minorHAnsi"/>
          <w:i w:val="0"/>
          <w:sz w:val="22"/>
          <w:szCs w:val="22"/>
        </w:rPr>
        <w:t xml:space="preserve">, </w:t>
      </w:r>
      <w:r w:rsidRPr="003243FE">
        <w:rPr>
          <w:rFonts w:cstheme="minorHAnsi"/>
          <w:sz w:val="22"/>
          <w:szCs w:val="22"/>
        </w:rPr>
        <w:t>The Morning Bulletin</w:t>
      </w:r>
      <w:r w:rsidRPr="002F3BB0">
        <w:rPr>
          <w:rFonts w:cstheme="minorHAnsi"/>
          <w:i w:val="0"/>
          <w:sz w:val="22"/>
          <w:szCs w:val="22"/>
        </w:rPr>
        <w:t xml:space="preserve"> and ABC television. </w:t>
      </w:r>
      <w:r w:rsidR="0021773F" w:rsidRPr="002F3BB0">
        <w:rPr>
          <w:rFonts w:cstheme="minorHAnsi"/>
          <w:i w:val="0"/>
          <w:sz w:val="22"/>
          <w:szCs w:val="22"/>
        </w:rPr>
        <w:t xml:space="preserve">Topics of interest included </w:t>
      </w:r>
      <w:r w:rsidR="00C424CD" w:rsidRPr="002F3BB0">
        <w:rPr>
          <w:rFonts w:cstheme="minorHAnsi"/>
          <w:i w:val="0"/>
          <w:sz w:val="22"/>
          <w:szCs w:val="22"/>
        </w:rPr>
        <w:t>proposed changes to state and federal legislation with human rights implications, general trends in discrimination complaints,</w:t>
      </w:r>
      <w:r w:rsidR="00D0567F">
        <w:rPr>
          <w:rFonts w:cstheme="minorHAnsi"/>
          <w:i w:val="0"/>
          <w:sz w:val="22"/>
          <w:szCs w:val="22"/>
        </w:rPr>
        <w:t xml:space="preserve"> and</w:t>
      </w:r>
      <w:r w:rsidR="00C424CD" w:rsidRPr="002F3BB0">
        <w:rPr>
          <w:rFonts w:cstheme="minorHAnsi"/>
          <w:i w:val="0"/>
          <w:sz w:val="22"/>
          <w:szCs w:val="22"/>
        </w:rPr>
        <w:t xml:space="preserve"> </w:t>
      </w:r>
      <w:r w:rsidR="00D0567F">
        <w:rPr>
          <w:rFonts w:cstheme="minorHAnsi"/>
          <w:i w:val="0"/>
          <w:sz w:val="22"/>
          <w:szCs w:val="22"/>
        </w:rPr>
        <w:t xml:space="preserve">cases </w:t>
      </w:r>
      <w:r w:rsidR="00C424CD" w:rsidRPr="002F3BB0">
        <w:rPr>
          <w:rFonts w:cstheme="minorHAnsi"/>
          <w:i w:val="0"/>
          <w:sz w:val="22"/>
          <w:szCs w:val="22"/>
        </w:rPr>
        <w:t>of racial and religious vili</w:t>
      </w:r>
      <w:r w:rsidR="009A4581">
        <w:rPr>
          <w:rFonts w:cstheme="minorHAnsi"/>
          <w:i w:val="0"/>
          <w:sz w:val="22"/>
          <w:szCs w:val="22"/>
        </w:rPr>
        <w:t>fication and sexual harassment.</w:t>
      </w:r>
    </w:p>
    <w:p w:rsidR="001810A6" w:rsidRPr="002F3BB0" w:rsidRDefault="0021773F" w:rsidP="00BF30CC">
      <w:pPr>
        <w:pStyle w:val="Heading2"/>
        <w:rPr>
          <w:i/>
        </w:rPr>
      </w:pPr>
      <w:r w:rsidRPr="002F3BB0">
        <w:t>Education</w:t>
      </w:r>
    </w:p>
    <w:p w:rsidR="001810A6" w:rsidRPr="002F3BB0" w:rsidRDefault="001810A6" w:rsidP="005039E8">
      <w:pPr>
        <w:spacing w:after="120" w:line="240" w:lineRule="auto"/>
        <w:rPr>
          <w:rFonts w:cstheme="minorHAnsi"/>
          <w:i w:val="0"/>
          <w:sz w:val="22"/>
          <w:szCs w:val="22"/>
        </w:rPr>
      </w:pPr>
      <w:r w:rsidRPr="002F3BB0">
        <w:rPr>
          <w:rFonts w:cstheme="minorHAnsi"/>
          <w:i w:val="0"/>
          <w:sz w:val="22"/>
          <w:szCs w:val="22"/>
        </w:rPr>
        <w:t xml:space="preserve">The ADCQ delivers training courses based around the </w:t>
      </w:r>
      <w:r w:rsidRPr="002F3BB0">
        <w:rPr>
          <w:rFonts w:cstheme="minorHAnsi"/>
          <w:sz w:val="22"/>
          <w:szCs w:val="22"/>
        </w:rPr>
        <w:t>Anti-Discrimination Act 1991.</w:t>
      </w:r>
      <w:r w:rsidRPr="002F3BB0">
        <w:rPr>
          <w:rFonts w:cstheme="minorHAnsi"/>
          <w:i w:val="0"/>
          <w:sz w:val="22"/>
          <w:szCs w:val="22"/>
        </w:rPr>
        <w:t xml:space="preserve"> The primary objectives of</w:t>
      </w:r>
      <w:r w:rsidR="00D45C72">
        <w:rPr>
          <w:rFonts w:cstheme="minorHAnsi"/>
          <w:i w:val="0"/>
          <w:sz w:val="22"/>
          <w:szCs w:val="22"/>
        </w:rPr>
        <w:t xml:space="preserve"> </w:t>
      </w:r>
      <w:r w:rsidRPr="002F3BB0">
        <w:rPr>
          <w:rFonts w:cstheme="minorHAnsi"/>
          <w:i w:val="0"/>
          <w:sz w:val="22"/>
          <w:szCs w:val="22"/>
        </w:rPr>
        <w:t xml:space="preserve">training are to educate </w:t>
      </w:r>
      <w:r w:rsidR="00D0567F">
        <w:rPr>
          <w:rFonts w:cstheme="minorHAnsi"/>
          <w:i w:val="0"/>
          <w:sz w:val="22"/>
          <w:szCs w:val="22"/>
        </w:rPr>
        <w:t xml:space="preserve">people in </w:t>
      </w:r>
      <w:r w:rsidRPr="002F3BB0">
        <w:rPr>
          <w:rFonts w:cstheme="minorHAnsi"/>
          <w:i w:val="0"/>
          <w:sz w:val="22"/>
          <w:szCs w:val="22"/>
        </w:rPr>
        <w:t>Queensland about their rights and responsibilities</w:t>
      </w:r>
      <w:r w:rsidR="00EF16DE" w:rsidRPr="002F3BB0">
        <w:rPr>
          <w:rFonts w:cstheme="minorHAnsi"/>
          <w:i w:val="0"/>
          <w:sz w:val="22"/>
          <w:szCs w:val="22"/>
        </w:rPr>
        <w:t xml:space="preserve"> under the Act</w:t>
      </w:r>
      <w:r w:rsidR="00D0567F">
        <w:rPr>
          <w:rFonts w:cstheme="minorHAnsi"/>
          <w:i w:val="0"/>
          <w:sz w:val="22"/>
          <w:szCs w:val="22"/>
        </w:rPr>
        <w:t>,</w:t>
      </w:r>
      <w:r w:rsidR="00EF16DE" w:rsidRPr="002F3BB0">
        <w:rPr>
          <w:rFonts w:cstheme="minorHAnsi"/>
          <w:i w:val="0"/>
          <w:sz w:val="22"/>
          <w:szCs w:val="22"/>
        </w:rPr>
        <w:t xml:space="preserve"> and to support organisations to adopt best practice </w:t>
      </w:r>
      <w:r w:rsidR="00D0567F">
        <w:rPr>
          <w:rFonts w:cstheme="minorHAnsi"/>
          <w:i w:val="0"/>
          <w:sz w:val="22"/>
          <w:szCs w:val="22"/>
        </w:rPr>
        <w:t>methods</w:t>
      </w:r>
      <w:r w:rsidR="00D0567F" w:rsidRPr="002F3BB0">
        <w:rPr>
          <w:rFonts w:cstheme="minorHAnsi"/>
          <w:i w:val="0"/>
          <w:sz w:val="22"/>
          <w:szCs w:val="22"/>
        </w:rPr>
        <w:t xml:space="preserve"> </w:t>
      </w:r>
      <w:r w:rsidR="00EF16DE" w:rsidRPr="002F3BB0">
        <w:rPr>
          <w:rFonts w:cstheme="minorHAnsi"/>
          <w:i w:val="0"/>
          <w:sz w:val="22"/>
          <w:szCs w:val="22"/>
        </w:rPr>
        <w:t>for preventing and managing discrimination and harassment in the workplace</w:t>
      </w:r>
      <w:r w:rsidRPr="002F3BB0">
        <w:rPr>
          <w:rFonts w:cstheme="minorHAnsi"/>
          <w:i w:val="0"/>
          <w:sz w:val="22"/>
          <w:szCs w:val="22"/>
        </w:rPr>
        <w:t>.  Training is provided on a fee-for-service basis, with reduced rates offered to small community organisations</w:t>
      </w:r>
      <w:r w:rsidR="00D45C72">
        <w:rPr>
          <w:rFonts w:cstheme="minorHAnsi"/>
          <w:i w:val="0"/>
          <w:sz w:val="22"/>
          <w:szCs w:val="22"/>
        </w:rPr>
        <w:t xml:space="preserve">. </w:t>
      </w:r>
      <w:r w:rsidRPr="002F3BB0">
        <w:rPr>
          <w:rFonts w:cstheme="minorHAnsi"/>
          <w:i w:val="0"/>
          <w:sz w:val="22"/>
          <w:szCs w:val="22"/>
        </w:rPr>
        <w:t xml:space="preserve"> Training services are delivered mainly based on client demand, with a limited am</w:t>
      </w:r>
      <w:r w:rsidR="009A4581">
        <w:rPr>
          <w:rFonts w:cstheme="minorHAnsi"/>
          <w:i w:val="0"/>
          <w:sz w:val="22"/>
          <w:szCs w:val="22"/>
        </w:rPr>
        <w:t>ount of marketing undertaken.</w:t>
      </w:r>
    </w:p>
    <w:p w:rsidR="00096602" w:rsidRPr="002F3BB0" w:rsidRDefault="001810A6" w:rsidP="00BF30CC">
      <w:pPr>
        <w:pStyle w:val="Heading2"/>
        <w:rPr>
          <w:rFonts w:cstheme="minorHAnsi"/>
          <w:b w:val="0"/>
          <w:i/>
        </w:rPr>
      </w:pPr>
      <w:r w:rsidRPr="002F3BB0">
        <w:rPr>
          <w:rFonts w:cstheme="minorHAnsi"/>
        </w:rPr>
        <w:lastRenderedPageBreak/>
        <w:t>State-wide</w:t>
      </w:r>
      <w:r w:rsidR="005812EC" w:rsidRPr="002F3BB0">
        <w:rPr>
          <w:rFonts w:cstheme="minorHAnsi"/>
        </w:rPr>
        <w:t xml:space="preserve"> </w:t>
      </w:r>
      <w:r w:rsidR="005812EC" w:rsidRPr="00BF30CC">
        <w:t>training</w:t>
      </w:r>
      <w:r w:rsidR="005812EC" w:rsidRPr="002F3BB0">
        <w:rPr>
          <w:rFonts w:cstheme="minorHAnsi"/>
        </w:rPr>
        <w:t xml:space="preserve"> p</w:t>
      </w:r>
      <w:r w:rsidR="00096602" w:rsidRPr="002F3BB0">
        <w:rPr>
          <w:rFonts w:cstheme="minorHAnsi"/>
        </w:rPr>
        <w:t>erformance</w:t>
      </w:r>
    </w:p>
    <w:p w:rsidR="00D12E54" w:rsidRDefault="00EF16DE" w:rsidP="005039E8">
      <w:pPr>
        <w:spacing w:after="120" w:line="240" w:lineRule="auto"/>
        <w:rPr>
          <w:rFonts w:cstheme="minorHAnsi"/>
          <w:i w:val="0"/>
          <w:sz w:val="22"/>
          <w:szCs w:val="22"/>
        </w:rPr>
      </w:pPr>
      <w:r w:rsidRPr="002F3BB0">
        <w:rPr>
          <w:rFonts w:cstheme="minorHAnsi"/>
          <w:i w:val="0"/>
          <w:sz w:val="22"/>
          <w:szCs w:val="22"/>
        </w:rPr>
        <w:t>In 201</w:t>
      </w:r>
      <w:r w:rsidR="005A7C88" w:rsidRPr="002F3BB0">
        <w:rPr>
          <w:rFonts w:cstheme="minorHAnsi"/>
          <w:i w:val="0"/>
          <w:sz w:val="22"/>
          <w:szCs w:val="22"/>
        </w:rPr>
        <w:t>3</w:t>
      </w:r>
      <w:r w:rsidRPr="002F3BB0">
        <w:rPr>
          <w:rFonts w:cstheme="minorHAnsi"/>
          <w:i w:val="0"/>
          <w:sz w:val="22"/>
          <w:szCs w:val="22"/>
        </w:rPr>
        <w:t>-1</w:t>
      </w:r>
      <w:r w:rsidR="005A7C88" w:rsidRPr="002F3BB0">
        <w:rPr>
          <w:rFonts w:cstheme="minorHAnsi"/>
          <w:i w:val="0"/>
          <w:sz w:val="22"/>
          <w:szCs w:val="22"/>
        </w:rPr>
        <w:t>4</w:t>
      </w:r>
      <w:r w:rsidRPr="002F3BB0">
        <w:rPr>
          <w:rFonts w:cstheme="minorHAnsi"/>
          <w:i w:val="0"/>
          <w:sz w:val="22"/>
          <w:szCs w:val="22"/>
        </w:rPr>
        <w:t xml:space="preserve"> </w:t>
      </w:r>
      <w:r w:rsidR="00D12E54">
        <w:rPr>
          <w:rFonts w:cstheme="minorHAnsi"/>
          <w:i w:val="0"/>
          <w:sz w:val="22"/>
          <w:szCs w:val="22"/>
        </w:rPr>
        <w:t>we</w:t>
      </w:r>
      <w:r w:rsidRPr="002F3BB0">
        <w:rPr>
          <w:rFonts w:cstheme="minorHAnsi"/>
          <w:i w:val="0"/>
          <w:sz w:val="22"/>
          <w:szCs w:val="22"/>
        </w:rPr>
        <w:t xml:space="preserve"> delivered 2</w:t>
      </w:r>
      <w:r w:rsidR="005A7C88" w:rsidRPr="002F3BB0">
        <w:rPr>
          <w:rFonts w:cstheme="minorHAnsi"/>
          <w:i w:val="0"/>
          <w:sz w:val="22"/>
          <w:szCs w:val="22"/>
        </w:rPr>
        <w:t>9</w:t>
      </w:r>
      <w:r w:rsidRPr="002F3BB0">
        <w:rPr>
          <w:rFonts w:cstheme="minorHAnsi"/>
          <w:i w:val="0"/>
          <w:sz w:val="22"/>
          <w:szCs w:val="22"/>
        </w:rPr>
        <w:t>3</w:t>
      </w:r>
      <w:r w:rsidR="005A7C88" w:rsidRPr="002F3BB0">
        <w:rPr>
          <w:rFonts w:cstheme="minorHAnsi"/>
          <w:i w:val="0"/>
          <w:sz w:val="22"/>
          <w:szCs w:val="22"/>
        </w:rPr>
        <w:t xml:space="preserve"> training sessions to more than 4</w:t>
      </w:r>
      <w:r w:rsidR="00D12E54">
        <w:rPr>
          <w:rFonts w:cstheme="minorHAnsi"/>
          <w:i w:val="0"/>
          <w:sz w:val="22"/>
          <w:szCs w:val="22"/>
        </w:rPr>
        <w:t>,</w:t>
      </w:r>
      <w:r w:rsidRPr="002F3BB0">
        <w:rPr>
          <w:rFonts w:cstheme="minorHAnsi"/>
          <w:i w:val="0"/>
          <w:sz w:val="22"/>
          <w:szCs w:val="22"/>
        </w:rPr>
        <w:t xml:space="preserve">000 </w:t>
      </w:r>
      <w:r w:rsidR="00D12E54">
        <w:rPr>
          <w:rFonts w:cstheme="minorHAnsi"/>
          <w:i w:val="0"/>
          <w:sz w:val="22"/>
          <w:szCs w:val="22"/>
        </w:rPr>
        <w:t>people</w:t>
      </w:r>
      <w:r w:rsidRPr="002F3BB0">
        <w:rPr>
          <w:rFonts w:cstheme="minorHAnsi"/>
          <w:i w:val="0"/>
          <w:sz w:val="22"/>
          <w:szCs w:val="22"/>
        </w:rPr>
        <w:t xml:space="preserve">. This was </w:t>
      </w:r>
      <w:r w:rsidR="005A7C88" w:rsidRPr="002F3BB0">
        <w:rPr>
          <w:rFonts w:cstheme="minorHAnsi"/>
          <w:i w:val="0"/>
          <w:sz w:val="22"/>
          <w:szCs w:val="22"/>
        </w:rPr>
        <w:t xml:space="preserve">an increase from the previous year’s total of 243 sessions. The decline in training requests from the public sector which was noted in 2012-13 </w:t>
      </w:r>
      <w:r w:rsidR="00D45C72">
        <w:rPr>
          <w:rFonts w:cstheme="minorHAnsi"/>
          <w:i w:val="0"/>
          <w:sz w:val="22"/>
          <w:szCs w:val="22"/>
        </w:rPr>
        <w:t>reverted</w:t>
      </w:r>
      <w:r w:rsidR="005A7C88" w:rsidRPr="002F3BB0">
        <w:rPr>
          <w:rFonts w:cstheme="minorHAnsi"/>
          <w:i w:val="0"/>
          <w:sz w:val="22"/>
          <w:szCs w:val="22"/>
        </w:rPr>
        <w:t xml:space="preserve"> this reporting period. A total of 95 sessions were delivered to public sector agencies, a</w:t>
      </w:r>
      <w:r w:rsidR="00404628" w:rsidRPr="002F3BB0">
        <w:rPr>
          <w:rFonts w:cstheme="minorHAnsi"/>
          <w:i w:val="0"/>
          <w:sz w:val="22"/>
          <w:szCs w:val="22"/>
        </w:rPr>
        <w:t xml:space="preserve">lmost </w:t>
      </w:r>
      <w:r w:rsidR="005A7C88" w:rsidRPr="002F3BB0">
        <w:rPr>
          <w:rFonts w:cstheme="minorHAnsi"/>
          <w:i w:val="0"/>
          <w:sz w:val="22"/>
          <w:szCs w:val="22"/>
        </w:rPr>
        <w:t>double what was delivered the previous year.</w:t>
      </w:r>
      <w:r w:rsidR="00D12E54">
        <w:rPr>
          <w:rFonts w:cstheme="minorHAnsi"/>
          <w:i w:val="0"/>
          <w:sz w:val="22"/>
          <w:szCs w:val="22"/>
        </w:rPr>
        <w:t xml:space="preserve"> The </w:t>
      </w:r>
      <w:r w:rsidR="00404628" w:rsidRPr="002F3BB0">
        <w:rPr>
          <w:rFonts w:cstheme="minorHAnsi"/>
          <w:i w:val="0"/>
          <w:sz w:val="22"/>
          <w:szCs w:val="22"/>
        </w:rPr>
        <w:t xml:space="preserve">Central </w:t>
      </w:r>
      <w:r w:rsidR="00D12E54">
        <w:rPr>
          <w:rFonts w:cstheme="minorHAnsi"/>
          <w:i w:val="0"/>
          <w:sz w:val="22"/>
          <w:szCs w:val="22"/>
        </w:rPr>
        <w:t xml:space="preserve">Queensland </w:t>
      </w:r>
      <w:r w:rsidR="00404628" w:rsidRPr="002F3BB0">
        <w:rPr>
          <w:rFonts w:cstheme="minorHAnsi"/>
          <w:i w:val="0"/>
          <w:sz w:val="22"/>
          <w:szCs w:val="22"/>
        </w:rPr>
        <w:t>region was the only area where this increase was not experienced, with only three sessions delivered to public sector ag</w:t>
      </w:r>
      <w:r w:rsidR="009A4581">
        <w:rPr>
          <w:rFonts w:cstheme="minorHAnsi"/>
          <w:i w:val="0"/>
          <w:sz w:val="22"/>
          <w:szCs w:val="22"/>
        </w:rPr>
        <w:t>encies in the Rockhampton area.</w:t>
      </w:r>
    </w:p>
    <w:p w:rsidR="00D66C3C" w:rsidRPr="002A0F92" w:rsidRDefault="005A7C88" w:rsidP="00A95273">
      <w:pPr>
        <w:spacing w:after="120" w:line="240" w:lineRule="auto"/>
        <w:rPr>
          <w:rFonts w:eastAsia="Times New Roman" w:cstheme="minorHAnsi"/>
          <w:b/>
          <w:bCs/>
          <w:i w:val="0"/>
          <w:sz w:val="22"/>
          <w:szCs w:val="22"/>
          <w:lang w:eastAsia="en-AU"/>
        </w:rPr>
      </w:pPr>
      <w:r w:rsidRPr="002F3BB0">
        <w:rPr>
          <w:rFonts w:cstheme="minorHAnsi"/>
          <w:i w:val="0"/>
          <w:sz w:val="22"/>
          <w:szCs w:val="22"/>
        </w:rPr>
        <w:t>Private sector tr</w:t>
      </w:r>
      <w:r w:rsidR="00404628" w:rsidRPr="002F3BB0">
        <w:rPr>
          <w:rFonts w:cstheme="minorHAnsi"/>
          <w:i w:val="0"/>
          <w:sz w:val="22"/>
          <w:szCs w:val="22"/>
        </w:rPr>
        <w:t xml:space="preserve">aining also increased slightly overall, from 104 to </w:t>
      </w:r>
      <w:r w:rsidRPr="002F3BB0">
        <w:rPr>
          <w:rFonts w:cstheme="minorHAnsi"/>
          <w:i w:val="0"/>
          <w:sz w:val="22"/>
          <w:szCs w:val="22"/>
        </w:rPr>
        <w:t>115 sessions</w:t>
      </w:r>
      <w:r w:rsidR="00404628" w:rsidRPr="002F3BB0">
        <w:rPr>
          <w:rFonts w:cstheme="minorHAnsi"/>
          <w:i w:val="0"/>
          <w:sz w:val="22"/>
          <w:szCs w:val="22"/>
        </w:rPr>
        <w:t xml:space="preserve">. A slight decrease was experienced in </w:t>
      </w:r>
      <w:r w:rsidR="00D12E54">
        <w:rPr>
          <w:rFonts w:cstheme="minorHAnsi"/>
          <w:i w:val="0"/>
          <w:sz w:val="22"/>
          <w:szCs w:val="22"/>
        </w:rPr>
        <w:t xml:space="preserve">the </w:t>
      </w:r>
      <w:r w:rsidR="00404628" w:rsidRPr="002F3BB0">
        <w:rPr>
          <w:rFonts w:cstheme="minorHAnsi"/>
          <w:i w:val="0"/>
          <w:sz w:val="22"/>
          <w:szCs w:val="22"/>
        </w:rPr>
        <w:t xml:space="preserve">Northern </w:t>
      </w:r>
      <w:r w:rsidR="00206A8B">
        <w:rPr>
          <w:rFonts w:cstheme="minorHAnsi"/>
          <w:i w:val="0"/>
          <w:sz w:val="22"/>
          <w:szCs w:val="22"/>
        </w:rPr>
        <w:t>Queensland r</w:t>
      </w:r>
      <w:r w:rsidR="00404628" w:rsidRPr="002F3BB0">
        <w:rPr>
          <w:rFonts w:cstheme="minorHAnsi"/>
          <w:i w:val="0"/>
          <w:sz w:val="22"/>
          <w:szCs w:val="22"/>
        </w:rPr>
        <w:t xml:space="preserve">egion, but the </w:t>
      </w:r>
      <w:r w:rsidR="00206A8B">
        <w:rPr>
          <w:rFonts w:cstheme="minorHAnsi"/>
          <w:i w:val="0"/>
          <w:sz w:val="22"/>
          <w:szCs w:val="22"/>
        </w:rPr>
        <w:t>difference</w:t>
      </w:r>
      <w:r w:rsidR="00206A8B" w:rsidRPr="002F3BB0">
        <w:rPr>
          <w:rFonts w:cstheme="minorHAnsi"/>
          <w:i w:val="0"/>
          <w:sz w:val="22"/>
          <w:szCs w:val="22"/>
        </w:rPr>
        <w:t xml:space="preserve"> </w:t>
      </w:r>
      <w:r w:rsidR="00404628" w:rsidRPr="002F3BB0">
        <w:rPr>
          <w:rFonts w:cstheme="minorHAnsi"/>
          <w:i w:val="0"/>
          <w:sz w:val="22"/>
          <w:szCs w:val="22"/>
        </w:rPr>
        <w:t xml:space="preserve">was made up by the increase in public sector training with </w:t>
      </w:r>
      <w:r w:rsidR="00206A8B">
        <w:rPr>
          <w:rFonts w:cstheme="minorHAnsi"/>
          <w:i w:val="0"/>
          <w:sz w:val="22"/>
          <w:szCs w:val="22"/>
        </w:rPr>
        <w:t>r</w:t>
      </w:r>
      <w:r w:rsidR="00404628" w:rsidRPr="002F3BB0">
        <w:rPr>
          <w:rFonts w:cstheme="minorHAnsi"/>
          <w:i w:val="0"/>
          <w:sz w:val="22"/>
          <w:szCs w:val="22"/>
        </w:rPr>
        <w:t xml:space="preserve">egional </w:t>
      </w:r>
      <w:r w:rsidR="00206A8B">
        <w:rPr>
          <w:rFonts w:cstheme="minorHAnsi"/>
          <w:i w:val="0"/>
          <w:sz w:val="22"/>
          <w:szCs w:val="22"/>
        </w:rPr>
        <w:t>c</w:t>
      </w:r>
      <w:r w:rsidR="00404628" w:rsidRPr="002F3BB0">
        <w:rPr>
          <w:rFonts w:cstheme="minorHAnsi"/>
          <w:i w:val="0"/>
          <w:sz w:val="22"/>
          <w:szCs w:val="22"/>
        </w:rPr>
        <w:t xml:space="preserve">ouncils showing greater interest in training this financial year. </w:t>
      </w:r>
      <w:r w:rsidR="00465EB9" w:rsidRPr="002F3BB0">
        <w:rPr>
          <w:rFonts w:cstheme="minorHAnsi"/>
          <w:i w:val="0"/>
          <w:sz w:val="22"/>
          <w:szCs w:val="22"/>
        </w:rPr>
        <w:t xml:space="preserve">While there has been a decrease in training requests from mining companies in some </w:t>
      </w:r>
      <w:r w:rsidR="00206A8B">
        <w:rPr>
          <w:rFonts w:cstheme="minorHAnsi"/>
          <w:i w:val="0"/>
          <w:sz w:val="22"/>
          <w:szCs w:val="22"/>
        </w:rPr>
        <w:t>districts</w:t>
      </w:r>
      <w:r w:rsidR="00465EB9" w:rsidRPr="002F3BB0">
        <w:rPr>
          <w:rFonts w:cstheme="minorHAnsi"/>
          <w:i w:val="0"/>
          <w:sz w:val="22"/>
          <w:szCs w:val="22"/>
        </w:rPr>
        <w:t>, there has been increase</w:t>
      </w:r>
      <w:r w:rsidR="00206A8B">
        <w:rPr>
          <w:rFonts w:cstheme="minorHAnsi"/>
          <w:i w:val="0"/>
          <w:sz w:val="22"/>
          <w:szCs w:val="22"/>
        </w:rPr>
        <w:t>d</w:t>
      </w:r>
      <w:r w:rsidR="00465EB9" w:rsidRPr="002F3BB0">
        <w:rPr>
          <w:rFonts w:cstheme="minorHAnsi"/>
          <w:i w:val="0"/>
          <w:sz w:val="22"/>
          <w:szCs w:val="22"/>
        </w:rPr>
        <w:t xml:space="preserve"> interest from the sugar industry and other organisations providing ancillary se</w:t>
      </w:r>
      <w:r w:rsidR="009A4581">
        <w:rPr>
          <w:rFonts w:cstheme="minorHAnsi"/>
          <w:i w:val="0"/>
          <w:sz w:val="22"/>
          <w:szCs w:val="22"/>
        </w:rPr>
        <w:t>rvices to the mining industry.</w:t>
      </w:r>
    </w:p>
    <w:p w:rsidR="00C11B09" w:rsidRPr="002F3BB0" w:rsidRDefault="00C11B09" w:rsidP="00A95273">
      <w:pPr>
        <w:pStyle w:val="Caption"/>
        <w:keepNext/>
        <w:spacing w:before="360" w:after="120"/>
        <w:rPr>
          <w:color w:val="595959" w:themeColor="accent2" w:themeShade="80"/>
          <w:sz w:val="22"/>
        </w:rPr>
      </w:pPr>
      <w:r w:rsidRPr="002F3BB0">
        <w:rPr>
          <w:color w:val="595959" w:themeColor="accent2" w:themeShade="80"/>
          <w:sz w:val="22"/>
        </w:rPr>
        <w:t>Table</w:t>
      </w:r>
      <w:r w:rsidR="0033101E">
        <w:rPr>
          <w:color w:val="595959" w:themeColor="accent2" w:themeShade="80"/>
          <w:sz w:val="22"/>
        </w:rPr>
        <w:t xml:space="preserve"> 5</w:t>
      </w:r>
      <w:r w:rsidR="009D5BD8">
        <w:rPr>
          <w:color w:val="595959" w:themeColor="accent2" w:themeShade="80"/>
          <w:sz w:val="22"/>
        </w:rPr>
        <w:t>:</w:t>
      </w:r>
      <w:r w:rsidRPr="002F3BB0">
        <w:rPr>
          <w:color w:val="595959" w:themeColor="accent2" w:themeShade="80"/>
          <w:sz w:val="22"/>
        </w:rPr>
        <w:t xml:space="preserve"> Delivery of training by sector, by region</w:t>
      </w:r>
    </w:p>
    <w:tbl>
      <w:tblPr>
        <w:tblStyle w:val="LightList-Accent5"/>
        <w:tblW w:w="0" w:type="auto"/>
        <w:tblLook w:val="01E0" w:firstRow="1" w:lastRow="1" w:firstColumn="1" w:lastColumn="1" w:noHBand="0" w:noVBand="0"/>
        <w:tblDescription w:val="Delivery of training by sector, by region"/>
      </w:tblPr>
      <w:tblGrid>
        <w:gridCol w:w="1583"/>
        <w:gridCol w:w="1417"/>
        <w:gridCol w:w="1433"/>
        <w:gridCol w:w="1477"/>
        <w:gridCol w:w="1478"/>
        <w:gridCol w:w="1479"/>
      </w:tblGrid>
      <w:tr w:rsidR="00D66C3C" w:rsidRPr="004E036A" w:rsidTr="007447D3">
        <w:trPr>
          <w:cnfStyle w:val="100000000000" w:firstRow="1" w:lastRow="0" w:firstColumn="0" w:lastColumn="0" w:oddVBand="0" w:evenVBand="0" w:oddHBand="0" w:evenHBand="0" w:firstRowFirstColumn="0" w:firstRowLastColumn="0" w:lastRowFirstColumn="0" w:lastRowLastColumn="0"/>
          <w:trHeight w:val="438"/>
          <w:tblHeader/>
        </w:trPr>
        <w:tc>
          <w:tcPr>
            <w:cnfStyle w:val="001000000000" w:firstRow="0" w:lastRow="0" w:firstColumn="1" w:lastColumn="0" w:oddVBand="0" w:evenVBand="0" w:oddHBand="0" w:evenHBand="0" w:firstRowFirstColumn="0" w:firstRowLastColumn="0" w:lastRowFirstColumn="0" w:lastRowLastColumn="0"/>
            <w:tcW w:w="1583" w:type="dxa"/>
          </w:tcPr>
          <w:p w:rsidR="00D66C3C" w:rsidRPr="004E036A" w:rsidRDefault="00D66C3C" w:rsidP="00D66C3C">
            <w:pPr>
              <w:spacing w:before="40" w:after="40"/>
              <w:rPr>
                <w:rFonts w:eastAsia="Times New Roman" w:cstheme="minorHAnsi"/>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1417" w:type="dxa"/>
          </w:tcPr>
          <w:p w:rsidR="00D66C3C" w:rsidRPr="004E036A" w:rsidRDefault="00D66C3C" w:rsidP="004E036A">
            <w:pPr>
              <w:spacing w:before="40" w:after="40"/>
              <w:jc w:val="right"/>
              <w:rPr>
                <w:rFonts w:eastAsia="Times New Roman" w:cstheme="minorHAnsi"/>
                <w:b w:val="0"/>
                <w:bCs w:val="0"/>
                <w:i w:val="0"/>
                <w:sz w:val="22"/>
                <w:szCs w:val="22"/>
                <w:lang w:eastAsia="en-AU"/>
              </w:rPr>
            </w:pPr>
            <w:r w:rsidRPr="004E036A">
              <w:rPr>
                <w:rFonts w:eastAsia="Times New Roman" w:cstheme="minorHAnsi"/>
                <w:b w:val="0"/>
                <w:bCs w:val="0"/>
                <w:i w:val="0"/>
                <w:sz w:val="22"/>
                <w:szCs w:val="22"/>
                <w:lang w:eastAsia="en-AU"/>
              </w:rPr>
              <w:t>South-East</w:t>
            </w:r>
          </w:p>
        </w:tc>
        <w:tc>
          <w:tcPr>
            <w:tcW w:w="1433" w:type="dxa"/>
          </w:tcPr>
          <w:p w:rsidR="00D66C3C" w:rsidRPr="004E036A" w:rsidRDefault="00D66C3C" w:rsidP="004E036A">
            <w:pPr>
              <w:spacing w:before="40" w:after="4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val="0"/>
                <w:sz w:val="22"/>
                <w:szCs w:val="22"/>
                <w:lang w:eastAsia="en-AU"/>
              </w:rPr>
            </w:pPr>
            <w:r w:rsidRPr="004E036A">
              <w:rPr>
                <w:rFonts w:eastAsia="Times New Roman" w:cstheme="minorHAnsi"/>
                <w:b w:val="0"/>
                <w:bCs w:val="0"/>
                <w:i w:val="0"/>
                <w:sz w:val="22"/>
                <w:szCs w:val="22"/>
                <w:lang w:eastAsia="en-AU"/>
              </w:rPr>
              <w:t>Central</w:t>
            </w:r>
          </w:p>
        </w:tc>
        <w:tc>
          <w:tcPr>
            <w:cnfStyle w:val="000010000000" w:firstRow="0" w:lastRow="0" w:firstColumn="0" w:lastColumn="0" w:oddVBand="1" w:evenVBand="0" w:oddHBand="0" w:evenHBand="0" w:firstRowFirstColumn="0" w:firstRowLastColumn="0" w:lastRowFirstColumn="0" w:lastRowLastColumn="0"/>
            <w:tcW w:w="1477" w:type="dxa"/>
          </w:tcPr>
          <w:p w:rsidR="00D66C3C" w:rsidRPr="004E036A" w:rsidRDefault="00D66C3C" w:rsidP="004E036A">
            <w:pPr>
              <w:spacing w:before="40" w:after="40"/>
              <w:jc w:val="right"/>
              <w:rPr>
                <w:rFonts w:eastAsia="Times New Roman" w:cstheme="minorHAnsi"/>
                <w:b w:val="0"/>
                <w:bCs w:val="0"/>
                <w:i w:val="0"/>
                <w:sz w:val="22"/>
                <w:szCs w:val="22"/>
                <w:lang w:eastAsia="en-AU"/>
              </w:rPr>
            </w:pPr>
            <w:r w:rsidRPr="004E036A">
              <w:rPr>
                <w:rFonts w:eastAsia="Times New Roman" w:cstheme="minorHAnsi"/>
                <w:b w:val="0"/>
                <w:bCs w:val="0"/>
                <w:i w:val="0"/>
                <w:sz w:val="22"/>
                <w:szCs w:val="22"/>
                <w:lang w:eastAsia="en-AU"/>
              </w:rPr>
              <w:t>North</w:t>
            </w:r>
          </w:p>
        </w:tc>
        <w:tc>
          <w:tcPr>
            <w:tcW w:w="1478" w:type="dxa"/>
          </w:tcPr>
          <w:p w:rsidR="00D66C3C" w:rsidRPr="004E036A" w:rsidRDefault="00D66C3C" w:rsidP="004E036A">
            <w:pPr>
              <w:spacing w:before="40" w:after="4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val="0"/>
                <w:sz w:val="22"/>
                <w:szCs w:val="22"/>
                <w:lang w:eastAsia="en-AU"/>
              </w:rPr>
            </w:pPr>
            <w:r w:rsidRPr="004E036A">
              <w:rPr>
                <w:rFonts w:eastAsia="Times New Roman" w:cstheme="minorHAnsi"/>
                <w:b w:val="0"/>
                <w:bCs w:val="0"/>
                <w:i w:val="0"/>
                <w:sz w:val="22"/>
                <w:szCs w:val="22"/>
                <w:lang w:eastAsia="en-AU"/>
              </w:rPr>
              <w:t>Far North</w:t>
            </w:r>
          </w:p>
        </w:tc>
        <w:tc>
          <w:tcPr>
            <w:cnfStyle w:val="000100000000" w:firstRow="0" w:lastRow="0" w:firstColumn="0" w:lastColumn="1" w:oddVBand="0" w:evenVBand="0" w:oddHBand="0" w:evenHBand="0" w:firstRowFirstColumn="0" w:firstRowLastColumn="0" w:lastRowFirstColumn="0" w:lastRowLastColumn="0"/>
            <w:tcW w:w="1479" w:type="dxa"/>
          </w:tcPr>
          <w:p w:rsidR="00D66C3C" w:rsidRPr="004E036A" w:rsidRDefault="00D66C3C" w:rsidP="004E036A">
            <w:pPr>
              <w:spacing w:before="40" w:after="40"/>
              <w:jc w:val="right"/>
              <w:rPr>
                <w:rFonts w:eastAsia="Times New Roman" w:cstheme="minorHAnsi"/>
                <w:b w:val="0"/>
                <w:bCs w:val="0"/>
                <w:i w:val="0"/>
                <w:sz w:val="22"/>
                <w:szCs w:val="22"/>
                <w:lang w:eastAsia="en-AU"/>
              </w:rPr>
            </w:pPr>
            <w:r w:rsidRPr="004E036A">
              <w:rPr>
                <w:rFonts w:eastAsia="Times New Roman" w:cstheme="minorHAnsi"/>
                <w:b w:val="0"/>
                <w:bCs w:val="0"/>
                <w:i w:val="0"/>
                <w:sz w:val="22"/>
                <w:szCs w:val="22"/>
                <w:lang w:eastAsia="en-AU"/>
              </w:rPr>
              <w:t>Total</w:t>
            </w:r>
          </w:p>
        </w:tc>
      </w:tr>
      <w:tr w:rsidR="00AD10BA" w:rsidRPr="002F3BB0" w:rsidTr="00585B8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583" w:type="dxa"/>
          </w:tcPr>
          <w:p w:rsidR="00AD10BA" w:rsidRPr="002F3BB0" w:rsidRDefault="00AD10BA"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Private sector</w:t>
            </w:r>
          </w:p>
        </w:tc>
        <w:tc>
          <w:tcPr>
            <w:cnfStyle w:val="000010000000" w:firstRow="0" w:lastRow="0" w:firstColumn="0" w:lastColumn="0" w:oddVBand="1" w:evenVBand="0" w:oddHBand="0" w:evenHBand="0" w:firstRowFirstColumn="0" w:firstRowLastColumn="0" w:lastRowFirstColumn="0" w:lastRowLastColumn="0"/>
            <w:tcW w:w="1417" w:type="dxa"/>
          </w:tcPr>
          <w:p w:rsidR="00AD10BA" w:rsidRPr="002F3BB0" w:rsidRDefault="00565714" w:rsidP="001B3D5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53</w:t>
            </w:r>
          </w:p>
        </w:tc>
        <w:tc>
          <w:tcPr>
            <w:tcW w:w="1433" w:type="dxa"/>
          </w:tcPr>
          <w:p w:rsidR="00AD10BA" w:rsidRPr="002F3BB0" w:rsidRDefault="00565714" w:rsidP="00AD10BA">
            <w:pPr>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16</w:t>
            </w:r>
          </w:p>
        </w:tc>
        <w:tc>
          <w:tcPr>
            <w:cnfStyle w:val="000010000000" w:firstRow="0" w:lastRow="0" w:firstColumn="0" w:lastColumn="0" w:oddVBand="1" w:evenVBand="0" w:oddHBand="0" w:evenHBand="0" w:firstRowFirstColumn="0" w:firstRowLastColumn="0" w:lastRowFirstColumn="0" w:lastRowLastColumn="0"/>
            <w:tcW w:w="1477" w:type="dxa"/>
          </w:tcPr>
          <w:p w:rsidR="00AD10BA" w:rsidRPr="002F3BB0" w:rsidRDefault="00565714" w:rsidP="001B3D5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35</w:t>
            </w:r>
          </w:p>
        </w:tc>
        <w:tc>
          <w:tcPr>
            <w:tcW w:w="1478" w:type="dxa"/>
          </w:tcPr>
          <w:p w:rsidR="00AD10BA" w:rsidRPr="002F3BB0" w:rsidRDefault="00565714" w:rsidP="00D66C3C">
            <w:pPr>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11</w:t>
            </w:r>
          </w:p>
        </w:tc>
        <w:tc>
          <w:tcPr>
            <w:cnfStyle w:val="000100000000" w:firstRow="0" w:lastRow="0" w:firstColumn="0" w:lastColumn="1" w:oddVBand="0" w:evenVBand="0" w:oddHBand="0" w:evenHBand="0" w:firstRowFirstColumn="0" w:firstRowLastColumn="0" w:lastRowFirstColumn="0" w:lastRowLastColumn="0"/>
            <w:tcW w:w="1479" w:type="dxa"/>
          </w:tcPr>
          <w:p w:rsidR="00AD10BA" w:rsidRPr="002F3BB0" w:rsidRDefault="00565714" w:rsidP="001B3D5C">
            <w:pPr>
              <w:spacing w:before="40" w:after="40"/>
              <w:jc w:val="right"/>
              <w:rPr>
                <w:rFonts w:eastAsia="Times New Roman" w:cstheme="minorHAnsi"/>
                <w:b w:val="0"/>
                <w:i w:val="0"/>
                <w:sz w:val="22"/>
                <w:szCs w:val="22"/>
                <w:lang w:eastAsia="en-AU"/>
              </w:rPr>
            </w:pPr>
            <w:r w:rsidRPr="002F3BB0">
              <w:rPr>
                <w:rFonts w:eastAsia="Times New Roman" w:cstheme="minorHAnsi"/>
                <w:b w:val="0"/>
                <w:i w:val="0"/>
                <w:sz w:val="22"/>
                <w:szCs w:val="22"/>
                <w:lang w:eastAsia="en-AU"/>
              </w:rPr>
              <w:t>115</w:t>
            </w:r>
          </w:p>
        </w:tc>
      </w:tr>
      <w:tr w:rsidR="00AD10BA" w:rsidRPr="002F3BB0" w:rsidTr="00585B86">
        <w:trPr>
          <w:trHeight w:val="397"/>
        </w:trPr>
        <w:tc>
          <w:tcPr>
            <w:cnfStyle w:val="001000000000" w:firstRow="0" w:lastRow="0" w:firstColumn="1" w:lastColumn="0" w:oddVBand="0" w:evenVBand="0" w:oddHBand="0" w:evenHBand="0" w:firstRowFirstColumn="0" w:firstRowLastColumn="0" w:lastRowFirstColumn="0" w:lastRowLastColumn="0"/>
            <w:tcW w:w="1583" w:type="dxa"/>
          </w:tcPr>
          <w:p w:rsidR="00AD10BA" w:rsidRPr="002F3BB0" w:rsidRDefault="00AD10BA"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Public sector</w:t>
            </w:r>
          </w:p>
        </w:tc>
        <w:tc>
          <w:tcPr>
            <w:cnfStyle w:val="000010000000" w:firstRow="0" w:lastRow="0" w:firstColumn="0" w:lastColumn="0" w:oddVBand="1" w:evenVBand="0" w:oddHBand="0" w:evenHBand="0" w:firstRowFirstColumn="0" w:firstRowLastColumn="0" w:lastRowFirstColumn="0" w:lastRowLastColumn="0"/>
            <w:tcW w:w="1417" w:type="dxa"/>
          </w:tcPr>
          <w:p w:rsidR="00AD10BA" w:rsidRPr="002F3BB0" w:rsidRDefault="00565714" w:rsidP="00C24911">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50</w:t>
            </w:r>
          </w:p>
        </w:tc>
        <w:tc>
          <w:tcPr>
            <w:tcW w:w="1433" w:type="dxa"/>
          </w:tcPr>
          <w:p w:rsidR="00AD10BA" w:rsidRPr="002F3BB0" w:rsidRDefault="00565714" w:rsidP="001434A9">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3</w:t>
            </w:r>
          </w:p>
        </w:tc>
        <w:tc>
          <w:tcPr>
            <w:cnfStyle w:val="000010000000" w:firstRow="0" w:lastRow="0" w:firstColumn="0" w:lastColumn="0" w:oddVBand="1" w:evenVBand="0" w:oddHBand="0" w:evenHBand="0" w:firstRowFirstColumn="0" w:firstRowLastColumn="0" w:lastRowFirstColumn="0" w:lastRowLastColumn="0"/>
            <w:tcW w:w="1477" w:type="dxa"/>
          </w:tcPr>
          <w:p w:rsidR="00AD10BA" w:rsidRPr="002F3BB0" w:rsidRDefault="00565714" w:rsidP="001B3D5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25</w:t>
            </w:r>
          </w:p>
        </w:tc>
        <w:tc>
          <w:tcPr>
            <w:tcW w:w="1478" w:type="dxa"/>
          </w:tcPr>
          <w:p w:rsidR="00AD10BA" w:rsidRPr="002F3BB0" w:rsidRDefault="00565714" w:rsidP="00D66C3C">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17</w:t>
            </w:r>
          </w:p>
        </w:tc>
        <w:tc>
          <w:tcPr>
            <w:cnfStyle w:val="000100000000" w:firstRow="0" w:lastRow="0" w:firstColumn="0" w:lastColumn="1" w:oddVBand="0" w:evenVBand="0" w:oddHBand="0" w:evenHBand="0" w:firstRowFirstColumn="0" w:firstRowLastColumn="0" w:lastRowFirstColumn="0" w:lastRowLastColumn="0"/>
            <w:tcW w:w="1479" w:type="dxa"/>
          </w:tcPr>
          <w:p w:rsidR="00AD10BA" w:rsidRPr="002F3BB0" w:rsidRDefault="00565714" w:rsidP="00D66C3C">
            <w:pPr>
              <w:spacing w:before="40" w:after="40"/>
              <w:jc w:val="right"/>
              <w:rPr>
                <w:rFonts w:eastAsia="Times New Roman" w:cstheme="minorHAnsi"/>
                <w:b w:val="0"/>
                <w:i w:val="0"/>
                <w:sz w:val="22"/>
                <w:szCs w:val="22"/>
                <w:lang w:eastAsia="en-AU"/>
              </w:rPr>
            </w:pPr>
            <w:r w:rsidRPr="002F3BB0">
              <w:rPr>
                <w:rFonts w:eastAsia="Times New Roman" w:cstheme="minorHAnsi"/>
                <w:b w:val="0"/>
                <w:i w:val="0"/>
                <w:sz w:val="22"/>
                <w:szCs w:val="22"/>
                <w:lang w:eastAsia="en-AU"/>
              </w:rPr>
              <w:t>95</w:t>
            </w:r>
          </w:p>
        </w:tc>
      </w:tr>
      <w:tr w:rsidR="00AD10BA" w:rsidRPr="002F3BB0" w:rsidTr="00585B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3" w:type="dxa"/>
          </w:tcPr>
          <w:p w:rsidR="00AD10BA" w:rsidRPr="002F3BB0" w:rsidRDefault="00AD10BA"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Community</w:t>
            </w:r>
          </w:p>
        </w:tc>
        <w:tc>
          <w:tcPr>
            <w:cnfStyle w:val="000010000000" w:firstRow="0" w:lastRow="0" w:firstColumn="0" w:lastColumn="0" w:oddVBand="1" w:evenVBand="0" w:oddHBand="0" w:evenHBand="0" w:firstRowFirstColumn="0" w:firstRowLastColumn="0" w:lastRowFirstColumn="0" w:lastRowLastColumn="0"/>
            <w:tcW w:w="1417" w:type="dxa"/>
          </w:tcPr>
          <w:p w:rsidR="00AD10BA"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12</w:t>
            </w:r>
          </w:p>
        </w:tc>
        <w:tc>
          <w:tcPr>
            <w:tcW w:w="1433" w:type="dxa"/>
          </w:tcPr>
          <w:p w:rsidR="00AD10BA" w:rsidRPr="002F3BB0" w:rsidRDefault="00565714" w:rsidP="00D66C3C">
            <w:pPr>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6</w:t>
            </w:r>
          </w:p>
        </w:tc>
        <w:tc>
          <w:tcPr>
            <w:cnfStyle w:val="000010000000" w:firstRow="0" w:lastRow="0" w:firstColumn="0" w:lastColumn="0" w:oddVBand="1" w:evenVBand="0" w:oddHBand="0" w:evenHBand="0" w:firstRowFirstColumn="0" w:firstRowLastColumn="0" w:lastRowFirstColumn="0" w:lastRowLastColumn="0"/>
            <w:tcW w:w="1477" w:type="dxa"/>
          </w:tcPr>
          <w:p w:rsidR="00AD10BA" w:rsidRPr="002F3BB0" w:rsidRDefault="00565714" w:rsidP="001B3D5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1</w:t>
            </w:r>
          </w:p>
        </w:tc>
        <w:tc>
          <w:tcPr>
            <w:tcW w:w="1478" w:type="dxa"/>
          </w:tcPr>
          <w:p w:rsidR="00AD10BA" w:rsidRPr="002F3BB0" w:rsidRDefault="00565714" w:rsidP="00D66C3C">
            <w:pPr>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14</w:t>
            </w:r>
          </w:p>
        </w:tc>
        <w:tc>
          <w:tcPr>
            <w:cnfStyle w:val="000100000000" w:firstRow="0" w:lastRow="0" w:firstColumn="0" w:lastColumn="1" w:oddVBand="0" w:evenVBand="0" w:oddHBand="0" w:evenHBand="0" w:firstRowFirstColumn="0" w:firstRowLastColumn="0" w:lastRowFirstColumn="0" w:lastRowLastColumn="0"/>
            <w:tcW w:w="1479" w:type="dxa"/>
          </w:tcPr>
          <w:p w:rsidR="00AD10BA" w:rsidRPr="002F3BB0" w:rsidRDefault="00565714" w:rsidP="00D66C3C">
            <w:pPr>
              <w:spacing w:before="40" w:after="40"/>
              <w:jc w:val="right"/>
              <w:rPr>
                <w:rFonts w:eastAsia="Times New Roman" w:cstheme="minorHAnsi"/>
                <w:b w:val="0"/>
                <w:i w:val="0"/>
                <w:sz w:val="22"/>
                <w:szCs w:val="22"/>
                <w:lang w:eastAsia="en-AU"/>
              </w:rPr>
            </w:pPr>
            <w:r w:rsidRPr="002F3BB0">
              <w:rPr>
                <w:rFonts w:eastAsia="Times New Roman" w:cstheme="minorHAnsi"/>
                <w:b w:val="0"/>
                <w:i w:val="0"/>
                <w:sz w:val="22"/>
                <w:szCs w:val="22"/>
                <w:lang w:eastAsia="en-AU"/>
              </w:rPr>
              <w:t>33</w:t>
            </w:r>
          </w:p>
        </w:tc>
      </w:tr>
      <w:tr w:rsidR="00AD10BA" w:rsidRPr="002F3BB0" w:rsidTr="00585B86">
        <w:trPr>
          <w:trHeight w:val="397"/>
        </w:trPr>
        <w:tc>
          <w:tcPr>
            <w:cnfStyle w:val="001000000000" w:firstRow="0" w:lastRow="0" w:firstColumn="1" w:lastColumn="0" w:oddVBand="0" w:evenVBand="0" w:oddHBand="0" w:evenHBand="0" w:firstRowFirstColumn="0" w:firstRowLastColumn="0" w:lastRowFirstColumn="0" w:lastRowLastColumn="0"/>
            <w:tcW w:w="1583" w:type="dxa"/>
          </w:tcPr>
          <w:p w:rsidR="00AD10BA" w:rsidRPr="002F3BB0" w:rsidRDefault="00AD10BA"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In-house</w:t>
            </w:r>
          </w:p>
        </w:tc>
        <w:tc>
          <w:tcPr>
            <w:cnfStyle w:val="000010000000" w:firstRow="0" w:lastRow="0" w:firstColumn="0" w:lastColumn="0" w:oddVBand="1" w:evenVBand="0" w:oddHBand="0" w:evenHBand="0" w:firstRowFirstColumn="0" w:firstRowLastColumn="0" w:lastRowFirstColumn="0" w:lastRowLastColumn="0"/>
            <w:tcW w:w="1417" w:type="dxa"/>
          </w:tcPr>
          <w:p w:rsidR="00AD10BA" w:rsidRPr="002F3BB0" w:rsidRDefault="00565714" w:rsidP="00543A97">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22</w:t>
            </w:r>
          </w:p>
        </w:tc>
        <w:tc>
          <w:tcPr>
            <w:tcW w:w="1433" w:type="dxa"/>
          </w:tcPr>
          <w:p w:rsidR="00AD10BA" w:rsidRPr="002F3BB0" w:rsidRDefault="00565714" w:rsidP="00D66C3C">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9</w:t>
            </w:r>
          </w:p>
        </w:tc>
        <w:tc>
          <w:tcPr>
            <w:cnfStyle w:val="000010000000" w:firstRow="0" w:lastRow="0" w:firstColumn="0" w:lastColumn="0" w:oddVBand="1" w:evenVBand="0" w:oddHBand="0" w:evenHBand="0" w:firstRowFirstColumn="0" w:firstRowLastColumn="0" w:lastRowFirstColumn="0" w:lastRowLastColumn="0"/>
            <w:tcW w:w="1477" w:type="dxa"/>
          </w:tcPr>
          <w:p w:rsidR="00AD10BA"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12</w:t>
            </w:r>
          </w:p>
        </w:tc>
        <w:tc>
          <w:tcPr>
            <w:tcW w:w="1478" w:type="dxa"/>
          </w:tcPr>
          <w:p w:rsidR="00AD10BA" w:rsidRPr="002F3BB0" w:rsidRDefault="00565714" w:rsidP="00D66C3C">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8</w:t>
            </w:r>
          </w:p>
        </w:tc>
        <w:tc>
          <w:tcPr>
            <w:cnfStyle w:val="000100000000" w:firstRow="0" w:lastRow="0" w:firstColumn="0" w:lastColumn="1" w:oddVBand="0" w:evenVBand="0" w:oddHBand="0" w:evenHBand="0" w:firstRowFirstColumn="0" w:firstRowLastColumn="0" w:lastRowFirstColumn="0" w:lastRowLastColumn="0"/>
            <w:tcW w:w="1479" w:type="dxa"/>
          </w:tcPr>
          <w:p w:rsidR="00AD10BA" w:rsidRPr="002F3BB0" w:rsidRDefault="00565714" w:rsidP="00D66C3C">
            <w:pPr>
              <w:spacing w:before="40" w:after="40"/>
              <w:jc w:val="right"/>
              <w:rPr>
                <w:rFonts w:eastAsia="Times New Roman" w:cstheme="minorHAnsi"/>
                <w:b w:val="0"/>
                <w:i w:val="0"/>
                <w:sz w:val="22"/>
                <w:szCs w:val="22"/>
                <w:lang w:eastAsia="en-AU"/>
              </w:rPr>
            </w:pPr>
            <w:r w:rsidRPr="002F3BB0">
              <w:rPr>
                <w:rFonts w:eastAsia="Times New Roman" w:cstheme="minorHAnsi"/>
                <w:b w:val="0"/>
                <w:i w:val="0"/>
                <w:sz w:val="22"/>
                <w:szCs w:val="22"/>
                <w:lang w:eastAsia="en-AU"/>
              </w:rPr>
              <w:t>51</w:t>
            </w:r>
          </w:p>
        </w:tc>
      </w:tr>
      <w:tr w:rsidR="00AD10BA" w:rsidRPr="002F3BB0" w:rsidTr="00585B86">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3" w:type="dxa"/>
          </w:tcPr>
          <w:p w:rsidR="00AD10BA" w:rsidRPr="002F3BB0" w:rsidRDefault="00AD10BA" w:rsidP="00D66C3C">
            <w:pPr>
              <w:spacing w:before="40" w:after="40"/>
              <w:rPr>
                <w:rFonts w:eastAsia="Times New Roman" w:cstheme="minorHAnsi"/>
                <w:b w:val="0"/>
                <w:i w:val="0"/>
                <w:sz w:val="22"/>
                <w:szCs w:val="22"/>
                <w:lang w:eastAsia="en-AU"/>
              </w:rPr>
            </w:pPr>
            <w:r w:rsidRPr="002F3BB0">
              <w:rPr>
                <w:rFonts w:eastAsia="Times New Roman" w:cstheme="minorHAnsi"/>
                <w:b w:val="0"/>
                <w:i w:val="0"/>
                <w:sz w:val="22"/>
                <w:szCs w:val="22"/>
                <w:lang w:eastAsia="en-AU"/>
              </w:rPr>
              <w:t>Total</w:t>
            </w:r>
          </w:p>
        </w:tc>
        <w:tc>
          <w:tcPr>
            <w:cnfStyle w:val="000010000000" w:firstRow="0" w:lastRow="0" w:firstColumn="0" w:lastColumn="0" w:oddVBand="1" w:evenVBand="0" w:oddHBand="0" w:evenHBand="0" w:firstRowFirstColumn="0" w:firstRowLastColumn="0" w:lastRowFirstColumn="0" w:lastRowLastColumn="0"/>
            <w:tcW w:w="1417" w:type="dxa"/>
          </w:tcPr>
          <w:p w:rsidR="00AD10BA" w:rsidRPr="002F3BB0" w:rsidRDefault="00565714" w:rsidP="00D66C3C">
            <w:pPr>
              <w:spacing w:before="40" w:after="40"/>
              <w:jc w:val="right"/>
              <w:rPr>
                <w:rFonts w:eastAsia="Times New Roman" w:cstheme="minorHAnsi"/>
                <w:b w:val="0"/>
                <w:i w:val="0"/>
                <w:sz w:val="22"/>
                <w:szCs w:val="22"/>
                <w:lang w:eastAsia="en-AU"/>
              </w:rPr>
            </w:pPr>
            <w:r w:rsidRPr="002F3BB0">
              <w:rPr>
                <w:rFonts w:eastAsia="Times New Roman" w:cstheme="minorHAnsi"/>
                <w:b w:val="0"/>
                <w:i w:val="0"/>
                <w:sz w:val="22"/>
                <w:szCs w:val="22"/>
                <w:lang w:eastAsia="en-AU"/>
              </w:rPr>
              <w:t>137</w:t>
            </w:r>
          </w:p>
        </w:tc>
        <w:tc>
          <w:tcPr>
            <w:tcW w:w="1433" w:type="dxa"/>
          </w:tcPr>
          <w:p w:rsidR="00AD10BA" w:rsidRPr="002F3BB0" w:rsidRDefault="00565714" w:rsidP="00D66C3C">
            <w:pPr>
              <w:spacing w:before="40" w:after="40"/>
              <w:jc w:val="right"/>
              <w:cnfStyle w:val="010000000000" w:firstRow="0" w:lastRow="1" w:firstColumn="0" w:lastColumn="0" w:oddVBand="0" w:evenVBand="0" w:oddHBand="0" w:evenHBand="0" w:firstRowFirstColumn="0" w:firstRowLastColumn="0" w:lastRowFirstColumn="0" w:lastRowLastColumn="0"/>
              <w:rPr>
                <w:rFonts w:eastAsia="Times New Roman" w:cstheme="minorHAnsi"/>
                <w:b w:val="0"/>
                <w:i w:val="0"/>
                <w:sz w:val="22"/>
                <w:szCs w:val="22"/>
                <w:lang w:eastAsia="en-AU"/>
              </w:rPr>
            </w:pPr>
            <w:r w:rsidRPr="002F3BB0">
              <w:rPr>
                <w:rFonts w:eastAsia="Times New Roman" w:cstheme="minorHAnsi"/>
                <w:b w:val="0"/>
                <w:i w:val="0"/>
                <w:sz w:val="22"/>
                <w:szCs w:val="22"/>
                <w:lang w:eastAsia="en-AU"/>
              </w:rPr>
              <w:t>34</w:t>
            </w:r>
          </w:p>
        </w:tc>
        <w:tc>
          <w:tcPr>
            <w:cnfStyle w:val="000010000000" w:firstRow="0" w:lastRow="0" w:firstColumn="0" w:lastColumn="0" w:oddVBand="1" w:evenVBand="0" w:oddHBand="0" w:evenHBand="0" w:firstRowFirstColumn="0" w:firstRowLastColumn="0" w:lastRowFirstColumn="0" w:lastRowLastColumn="0"/>
            <w:tcW w:w="1477" w:type="dxa"/>
          </w:tcPr>
          <w:p w:rsidR="00AD10BA" w:rsidRPr="002F3BB0" w:rsidRDefault="00565714" w:rsidP="00D66C3C">
            <w:pPr>
              <w:spacing w:before="40" w:after="40"/>
              <w:jc w:val="right"/>
              <w:rPr>
                <w:rFonts w:eastAsia="Times New Roman" w:cstheme="minorHAnsi"/>
                <w:b w:val="0"/>
                <w:i w:val="0"/>
                <w:sz w:val="22"/>
                <w:szCs w:val="22"/>
                <w:lang w:eastAsia="en-AU"/>
              </w:rPr>
            </w:pPr>
            <w:r w:rsidRPr="002F3BB0">
              <w:rPr>
                <w:rFonts w:eastAsia="Times New Roman" w:cstheme="minorHAnsi"/>
                <w:b w:val="0"/>
                <w:i w:val="0"/>
                <w:sz w:val="22"/>
                <w:szCs w:val="22"/>
                <w:lang w:eastAsia="en-AU"/>
              </w:rPr>
              <w:t>73</w:t>
            </w:r>
          </w:p>
        </w:tc>
        <w:tc>
          <w:tcPr>
            <w:tcW w:w="1478" w:type="dxa"/>
          </w:tcPr>
          <w:p w:rsidR="00AD10BA" w:rsidRPr="002F3BB0" w:rsidRDefault="00565714" w:rsidP="00D66C3C">
            <w:pPr>
              <w:spacing w:before="40" w:after="40"/>
              <w:jc w:val="right"/>
              <w:cnfStyle w:val="010000000000" w:firstRow="0" w:lastRow="1" w:firstColumn="0" w:lastColumn="0" w:oddVBand="0" w:evenVBand="0" w:oddHBand="0" w:evenHBand="0" w:firstRowFirstColumn="0" w:firstRowLastColumn="0" w:lastRowFirstColumn="0" w:lastRowLastColumn="0"/>
              <w:rPr>
                <w:rFonts w:eastAsia="Times New Roman" w:cstheme="minorHAnsi"/>
                <w:b w:val="0"/>
                <w:i w:val="0"/>
                <w:sz w:val="22"/>
                <w:szCs w:val="22"/>
                <w:lang w:eastAsia="en-AU"/>
              </w:rPr>
            </w:pPr>
            <w:r w:rsidRPr="002F3BB0">
              <w:rPr>
                <w:rFonts w:eastAsia="Times New Roman" w:cstheme="minorHAnsi"/>
                <w:b w:val="0"/>
                <w:i w:val="0"/>
                <w:sz w:val="22"/>
                <w:szCs w:val="22"/>
                <w:lang w:eastAsia="en-AU"/>
              </w:rPr>
              <w:t>50</w:t>
            </w:r>
          </w:p>
        </w:tc>
        <w:tc>
          <w:tcPr>
            <w:cnfStyle w:val="000100000000" w:firstRow="0" w:lastRow="0" w:firstColumn="0" w:lastColumn="1" w:oddVBand="0" w:evenVBand="0" w:oddHBand="0" w:evenHBand="0" w:firstRowFirstColumn="0" w:firstRowLastColumn="0" w:lastRowFirstColumn="0" w:lastRowLastColumn="0"/>
            <w:tcW w:w="1479" w:type="dxa"/>
          </w:tcPr>
          <w:p w:rsidR="00AD10BA" w:rsidRPr="002F3BB0" w:rsidRDefault="00565714" w:rsidP="00C60E0F">
            <w:pPr>
              <w:spacing w:before="40" w:after="40"/>
              <w:jc w:val="right"/>
              <w:rPr>
                <w:rFonts w:eastAsia="Times New Roman" w:cstheme="minorHAnsi"/>
                <w:b w:val="0"/>
                <w:i w:val="0"/>
                <w:sz w:val="22"/>
                <w:szCs w:val="22"/>
                <w:lang w:eastAsia="en-AU"/>
              </w:rPr>
            </w:pPr>
            <w:r w:rsidRPr="002F3BB0">
              <w:rPr>
                <w:rFonts w:eastAsia="Times New Roman" w:cstheme="minorHAnsi"/>
                <w:b w:val="0"/>
                <w:i w:val="0"/>
                <w:sz w:val="22"/>
                <w:szCs w:val="22"/>
                <w:lang w:eastAsia="en-AU"/>
              </w:rPr>
              <w:t>294</w:t>
            </w:r>
          </w:p>
        </w:tc>
      </w:tr>
    </w:tbl>
    <w:p w:rsidR="00C11B09" w:rsidRPr="002F3BB0" w:rsidRDefault="00C11B09" w:rsidP="00A5281C">
      <w:pPr>
        <w:pStyle w:val="Caption"/>
        <w:keepNext/>
        <w:spacing w:before="240" w:after="240" w:line="240" w:lineRule="auto"/>
        <w:rPr>
          <w:color w:val="595959" w:themeColor="accent2" w:themeShade="80"/>
          <w:sz w:val="22"/>
        </w:rPr>
      </w:pPr>
      <w:r w:rsidRPr="002F3BB0">
        <w:rPr>
          <w:color w:val="595959" w:themeColor="accent2" w:themeShade="80"/>
          <w:sz w:val="22"/>
        </w:rPr>
        <w:t xml:space="preserve">Table </w:t>
      </w:r>
      <w:r w:rsidR="0033101E">
        <w:rPr>
          <w:color w:val="595959" w:themeColor="accent2" w:themeShade="80"/>
          <w:sz w:val="22"/>
        </w:rPr>
        <w:t>6</w:t>
      </w:r>
      <w:r w:rsidR="009D5BD8">
        <w:rPr>
          <w:color w:val="595959" w:themeColor="accent2" w:themeShade="80"/>
          <w:sz w:val="22"/>
        </w:rPr>
        <w:t>:</w:t>
      </w:r>
      <w:r w:rsidRPr="002F3BB0">
        <w:rPr>
          <w:color w:val="595959" w:themeColor="accent2" w:themeShade="80"/>
          <w:sz w:val="22"/>
        </w:rPr>
        <w:t xml:space="preserve"> Types of training sessions</w:t>
      </w:r>
    </w:p>
    <w:tbl>
      <w:tblPr>
        <w:tblStyle w:val="LightList-Accent5"/>
        <w:tblW w:w="0" w:type="auto"/>
        <w:tblLayout w:type="fixed"/>
        <w:tblLook w:val="01E0" w:firstRow="1" w:lastRow="1" w:firstColumn="1" w:lastColumn="1" w:noHBand="0" w:noVBand="0"/>
        <w:tblDescription w:val="Types of training sessions"/>
      </w:tblPr>
      <w:tblGrid>
        <w:gridCol w:w="2983"/>
        <w:gridCol w:w="1500"/>
        <w:gridCol w:w="1040"/>
        <w:gridCol w:w="860"/>
        <w:gridCol w:w="1329"/>
        <w:gridCol w:w="1239"/>
      </w:tblGrid>
      <w:tr w:rsidR="00D66C3C" w:rsidRPr="002F3BB0" w:rsidTr="007447D3">
        <w:trPr>
          <w:cnfStyle w:val="100000000000" w:firstRow="1" w:lastRow="0" w:firstColumn="0" w:lastColumn="0" w:oddVBand="0" w:evenVBand="0" w:oddHBand="0" w:evenHBand="0" w:firstRowFirstColumn="0" w:firstRowLastColumn="0" w:lastRowFirstColumn="0" w:lastRowLastColumn="0"/>
          <w:trHeight w:val="497"/>
          <w:tblHeader/>
        </w:trPr>
        <w:tc>
          <w:tcPr>
            <w:cnfStyle w:val="001000000000" w:firstRow="0" w:lastRow="0" w:firstColumn="1" w:lastColumn="0" w:oddVBand="0" w:evenVBand="0" w:oddHBand="0" w:evenHBand="0" w:firstRowFirstColumn="0" w:firstRowLastColumn="0" w:lastRowFirstColumn="0" w:lastRowLastColumn="0"/>
            <w:tcW w:w="2983" w:type="dxa"/>
          </w:tcPr>
          <w:p w:rsidR="00D66C3C" w:rsidRPr="002F3BB0" w:rsidRDefault="00E93E73" w:rsidP="00D66C3C">
            <w:pPr>
              <w:keepNext/>
              <w:keepLines/>
              <w:tabs>
                <w:tab w:val="left" w:pos="2340"/>
              </w:tabs>
              <w:spacing w:before="40" w:after="40"/>
              <w:rPr>
                <w:rFonts w:eastAsia="Times New Roman" w:cstheme="minorHAnsi"/>
                <w:i w:val="0"/>
                <w:sz w:val="22"/>
                <w:szCs w:val="22"/>
                <w:lang w:eastAsia="en-AU"/>
              </w:rPr>
            </w:pPr>
            <w:r w:rsidRPr="002F3BB0">
              <w:rPr>
                <w:rFonts w:eastAsia="Times New Roman" w:cstheme="minorHAnsi"/>
                <w:b w:val="0"/>
                <w:bCs w:val="0"/>
                <w:i w:val="0"/>
                <w:sz w:val="22"/>
                <w:szCs w:val="22"/>
                <w:lang w:eastAsia="en-AU"/>
              </w:rPr>
              <w:t>Course</w:t>
            </w:r>
          </w:p>
        </w:tc>
        <w:tc>
          <w:tcPr>
            <w:cnfStyle w:val="000010000000" w:firstRow="0" w:lastRow="0" w:firstColumn="0" w:lastColumn="0" w:oddVBand="1" w:evenVBand="0" w:oddHBand="0" w:evenHBand="0" w:firstRowFirstColumn="0" w:firstRowLastColumn="0" w:lastRowFirstColumn="0" w:lastRowLastColumn="0"/>
            <w:tcW w:w="1500" w:type="dxa"/>
          </w:tcPr>
          <w:p w:rsidR="00D66C3C" w:rsidRPr="002F3BB0" w:rsidRDefault="00D66C3C" w:rsidP="00615C10">
            <w:pPr>
              <w:keepNext/>
              <w:keepLines/>
              <w:tabs>
                <w:tab w:val="left" w:pos="2340"/>
              </w:tabs>
              <w:spacing w:before="40" w:after="40"/>
              <w:jc w:val="right"/>
              <w:rPr>
                <w:rFonts w:eastAsia="Times New Roman" w:cstheme="minorHAnsi"/>
                <w:b w:val="0"/>
                <w:bCs w:val="0"/>
                <w:i w:val="0"/>
                <w:sz w:val="22"/>
                <w:szCs w:val="22"/>
                <w:lang w:eastAsia="en-AU"/>
              </w:rPr>
            </w:pPr>
            <w:r w:rsidRPr="002F3BB0">
              <w:rPr>
                <w:rFonts w:eastAsia="Times New Roman" w:cstheme="minorHAnsi"/>
                <w:b w:val="0"/>
                <w:bCs w:val="0"/>
                <w:i w:val="0"/>
                <w:sz w:val="22"/>
                <w:szCs w:val="22"/>
                <w:lang w:eastAsia="en-AU"/>
              </w:rPr>
              <w:t>South</w:t>
            </w:r>
            <w:r w:rsidR="00615C10" w:rsidRPr="002F3BB0">
              <w:rPr>
                <w:rFonts w:eastAsia="Times New Roman" w:cstheme="minorHAnsi"/>
                <w:b w:val="0"/>
                <w:bCs w:val="0"/>
                <w:i w:val="0"/>
                <w:sz w:val="22"/>
                <w:szCs w:val="22"/>
                <w:lang w:eastAsia="en-AU"/>
              </w:rPr>
              <w:t>-</w:t>
            </w:r>
            <w:r w:rsidRPr="002F3BB0">
              <w:rPr>
                <w:rFonts w:eastAsia="Times New Roman" w:cstheme="minorHAnsi"/>
                <w:b w:val="0"/>
                <w:bCs w:val="0"/>
                <w:i w:val="0"/>
                <w:sz w:val="22"/>
                <w:szCs w:val="22"/>
                <w:lang w:eastAsia="en-AU"/>
              </w:rPr>
              <w:t>East</w:t>
            </w:r>
          </w:p>
        </w:tc>
        <w:tc>
          <w:tcPr>
            <w:tcW w:w="1040" w:type="dxa"/>
          </w:tcPr>
          <w:p w:rsidR="00D66C3C" w:rsidRPr="002F3BB0" w:rsidRDefault="00D66C3C" w:rsidP="00D66C3C">
            <w:pPr>
              <w:keepNext/>
              <w:keepLines/>
              <w:tabs>
                <w:tab w:val="left" w:pos="2340"/>
              </w:tabs>
              <w:spacing w:before="40" w:after="4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val="0"/>
                <w:sz w:val="22"/>
                <w:szCs w:val="22"/>
                <w:lang w:eastAsia="en-AU"/>
              </w:rPr>
            </w:pPr>
            <w:r w:rsidRPr="002F3BB0">
              <w:rPr>
                <w:rFonts w:eastAsia="Times New Roman" w:cstheme="minorHAnsi"/>
                <w:b w:val="0"/>
                <w:bCs w:val="0"/>
                <w:i w:val="0"/>
                <w:sz w:val="22"/>
                <w:szCs w:val="22"/>
                <w:lang w:eastAsia="en-AU"/>
              </w:rPr>
              <w:t>Central</w:t>
            </w:r>
          </w:p>
        </w:tc>
        <w:tc>
          <w:tcPr>
            <w:cnfStyle w:val="000010000000" w:firstRow="0" w:lastRow="0" w:firstColumn="0" w:lastColumn="0" w:oddVBand="1" w:evenVBand="0" w:oddHBand="0" w:evenHBand="0" w:firstRowFirstColumn="0" w:firstRowLastColumn="0" w:lastRowFirstColumn="0" w:lastRowLastColumn="0"/>
            <w:tcW w:w="860" w:type="dxa"/>
          </w:tcPr>
          <w:p w:rsidR="00D66C3C" w:rsidRPr="002F3BB0" w:rsidRDefault="00D66C3C" w:rsidP="00D66C3C">
            <w:pPr>
              <w:keepNext/>
              <w:keepLines/>
              <w:tabs>
                <w:tab w:val="left" w:pos="2340"/>
              </w:tabs>
              <w:spacing w:before="40" w:after="40"/>
              <w:jc w:val="right"/>
              <w:rPr>
                <w:rFonts w:eastAsia="Times New Roman" w:cstheme="minorHAnsi"/>
                <w:b w:val="0"/>
                <w:bCs w:val="0"/>
                <w:i w:val="0"/>
                <w:sz w:val="22"/>
                <w:szCs w:val="22"/>
                <w:lang w:eastAsia="en-AU"/>
              </w:rPr>
            </w:pPr>
            <w:r w:rsidRPr="002F3BB0">
              <w:rPr>
                <w:rFonts w:eastAsia="Times New Roman" w:cstheme="minorHAnsi"/>
                <w:b w:val="0"/>
                <w:bCs w:val="0"/>
                <w:i w:val="0"/>
                <w:sz w:val="22"/>
                <w:szCs w:val="22"/>
                <w:lang w:eastAsia="en-AU"/>
              </w:rPr>
              <w:t>North</w:t>
            </w:r>
          </w:p>
        </w:tc>
        <w:tc>
          <w:tcPr>
            <w:tcW w:w="1329" w:type="dxa"/>
          </w:tcPr>
          <w:p w:rsidR="00D66C3C" w:rsidRPr="002F3BB0" w:rsidRDefault="00D66C3C" w:rsidP="00D66C3C">
            <w:pPr>
              <w:keepNext/>
              <w:keepLines/>
              <w:tabs>
                <w:tab w:val="left" w:pos="2340"/>
              </w:tabs>
              <w:spacing w:before="40" w:after="4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val="0"/>
                <w:sz w:val="22"/>
                <w:szCs w:val="22"/>
                <w:lang w:eastAsia="en-AU"/>
              </w:rPr>
            </w:pPr>
            <w:r w:rsidRPr="002F3BB0">
              <w:rPr>
                <w:rFonts w:eastAsia="Times New Roman" w:cstheme="minorHAnsi"/>
                <w:b w:val="0"/>
                <w:bCs w:val="0"/>
                <w:i w:val="0"/>
                <w:sz w:val="22"/>
                <w:szCs w:val="22"/>
                <w:lang w:eastAsia="en-AU"/>
              </w:rPr>
              <w:t>Far North</w:t>
            </w:r>
          </w:p>
        </w:tc>
        <w:tc>
          <w:tcPr>
            <w:cnfStyle w:val="000100000000" w:firstRow="0" w:lastRow="0" w:firstColumn="0" w:lastColumn="1" w:oddVBand="0" w:evenVBand="0" w:oddHBand="0" w:evenHBand="0" w:firstRowFirstColumn="0" w:firstRowLastColumn="0" w:lastRowFirstColumn="0" w:lastRowLastColumn="0"/>
            <w:tcW w:w="1239" w:type="dxa"/>
          </w:tcPr>
          <w:p w:rsidR="00D66C3C" w:rsidRPr="002F3BB0" w:rsidRDefault="00D66C3C" w:rsidP="00D66C3C">
            <w:pPr>
              <w:keepNext/>
              <w:keepLines/>
              <w:tabs>
                <w:tab w:val="left" w:pos="2340"/>
              </w:tabs>
              <w:spacing w:before="40" w:after="40"/>
              <w:jc w:val="right"/>
              <w:rPr>
                <w:rFonts w:eastAsia="Times New Roman" w:cstheme="minorHAnsi"/>
                <w:b w:val="0"/>
                <w:bCs w:val="0"/>
                <w:i w:val="0"/>
                <w:sz w:val="22"/>
                <w:szCs w:val="22"/>
                <w:lang w:eastAsia="en-AU"/>
              </w:rPr>
            </w:pPr>
            <w:r w:rsidRPr="002F3BB0">
              <w:rPr>
                <w:rFonts w:eastAsia="Times New Roman" w:cstheme="minorHAnsi"/>
                <w:b w:val="0"/>
                <w:bCs w:val="0"/>
                <w:i w:val="0"/>
                <w:sz w:val="22"/>
                <w:szCs w:val="22"/>
                <w:lang w:eastAsia="en-AU"/>
              </w:rPr>
              <w:t>Total</w:t>
            </w:r>
          </w:p>
        </w:tc>
      </w:tr>
      <w:tr w:rsidR="00D66C3C"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rsidR="00D66C3C" w:rsidRPr="002F3BB0" w:rsidRDefault="00D66C3C"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Introduction to the Anti-Discrimination Act</w:t>
            </w:r>
          </w:p>
        </w:tc>
        <w:tc>
          <w:tcPr>
            <w:cnfStyle w:val="000010000000" w:firstRow="0" w:lastRow="0" w:firstColumn="0" w:lastColumn="0" w:oddVBand="1" w:evenVBand="0" w:oddHBand="0" w:evenHBand="0" w:firstRowFirstColumn="0" w:firstRowLastColumn="0" w:lastRowFirstColumn="0" w:lastRowLastColumn="0"/>
            <w:tcW w:w="1500"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77</w:t>
            </w:r>
          </w:p>
        </w:tc>
        <w:tc>
          <w:tcPr>
            <w:tcW w:w="1040" w:type="dxa"/>
          </w:tcPr>
          <w:p w:rsidR="00D66C3C" w:rsidRPr="002F3BB0" w:rsidRDefault="00565714" w:rsidP="00D66C3C">
            <w:pPr>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10</w:t>
            </w:r>
          </w:p>
        </w:tc>
        <w:tc>
          <w:tcPr>
            <w:cnfStyle w:val="000010000000" w:firstRow="0" w:lastRow="0" w:firstColumn="0" w:lastColumn="0" w:oddVBand="1" w:evenVBand="0" w:oddHBand="0" w:evenHBand="0" w:firstRowFirstColumn="0" w:firstRowLastColumn="0" w:lastRowFirstColumn="0" w:lastRowLastColumn="0"/>
            <w:tcW w:w="860"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31</w:t>
            </w:r>
          </w:p>
        </w:tc>
        <w:tc>
          <w:tcPr>
            <w:tcW w:w="1329" w:type="dxa"/>
          </w:tcPr>
          <w:p w:rsidR="00D66C3C" w:rsidRPr="002F3BB0" w:rsidRDefault="00565714" w:rsidP="00D66C3C">
            <w:pPr>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37</w:t>
            </w:r>
          </w:p>
        </w:tc>
        <w:tc>
          <w:tcPr>
            <w:cnfStyle w:val="000100000000" w:firstRow="0" w:lastRow="0" w:firstColumn="0" w:lastColumn="1" w:oddVBand="0" w:evenVBand="0" w:oddHBand="0" w:evenHBand="0" w:firstRowFirstColumn="0" w:firstRowLastColumn="0" w:lastRowFirstColumn="0" w:lastRowLastColumn="0"/>
            <w:tcW w:w="1239"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155</w:t>
            </w:r>
          </w:p>
        </w:tc>
      </w:tr>
      <w:tr w:rsidR="00D66C3C" w:rsidRPr="002F3BB0" w:rsidTr="00585B86">
        <w:tc>
          <w:tcPr>
            <w:cnfStyle w:val="001000000000" w:firstRow="0" w:lastRow="0" w:firstColumn="1" w:lastColumn="0" w:oddVBand="0" w:evenVBand="0" w:oddHBand="0" w:evenHBand="0" w:firstRowFirstColumn="0" w:firstRowLastColumn="0" w:lastRowFirstColumn="0" w:lastRowLastColumn="0"/>
            <w:tcW w:w="2983" w:type="dxa"/>
          </w:tcPr>
          <w:p w:rsidR="00D66C3C" w:rsidRPr="002F3BB0" w:rsidRDefault="00D66C3C" w:rsidP="00E93E73">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The Contact Officer</w:t>
            </w:r>
            <w:r w:rsidR="00E93E73" w:rsidRPr="002F3BB0">
              <w:rPr>
                <w:rFonts w:eastAsia="Times New Roman" w:cstheme="minorHAnsi"/>
                <w:i w:val="0"/>
                <w:sz w:val="22"/>
                <w:szCs w:val="22"/>
                <w:lang w:eastAsia="en-AU"/>
              </w:rPr>
              <w:t xml:space="preserve"> (standard &amp; refresher course)</w:t>
            </w:r>
          </w:p>
        </w:tc>
        <w:tc>
          <w:tcPr>
            <w:cnfStyle w:val="000010000000" w:firstRow="0" w:lastRow="0" w:firstColumn="0" w:lastColumn="0" w:oddVBand="1" w:evenVBand="0" w:oddHBand="0" w:evenHBand="0" w:firstRowFirstColumn="0" w:firstRowLastColumn="0" w:lastRowFirstColumn="0" w:lastRowLastColumn="0"/>
            <w:tcW w:w="1500" w:type="dxa"/>
          </w:tcPr>
          <w:p w:rsidR="00D66C3C" w:rsidRPr="002F3BB0" w:rsidRDefault="00565714" w:rsidP="00C60E0F">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24</w:t>
            </w:r>
          </w:p>
        </w:tc>
        <w:tc>
          <w:tcPr>
            <w:tcW w:w="1040" w:type="dxa"/>
          </w:tcPr>
          <w:p w:rsidR="00D66C3C" w:rsidRPr="002F3BB0" w:rsidRDefault="00565714" w:rsidP="00D66C3C">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5</w:t>
            </w:r>
          </w:p>
        </w:tc>
        <w:tc>
          <w:tcPr>
            <w:cnfStyle w:val="000010000000" w:firstRow="0" w:lastRow="0" w:firstColumn="0" w:lastColumn="0" w:oddVBand="1" w:evenVBand="0" w:oddHBand="0" w:evenHBand="0" w:firstRowFirstColumn="0" w:firstRowLastColumn="0" w:lastRowFirstColumn="0" w:lastRowLastColumn="0"/>
            <w:tcW w:w="860"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11</w:t>
            </w:r>
          </w:p>
        </w:tc>
        <w:tc>
          <w:tcPr>
            <w:tcW w:w="1329" w:type="dxa"/>
          </w:tcPr>
          <w:p w:rsidR="00D66C3C" w:rsidRPr="002F3BB0" w:rsidRDefault="00565714" w:rsidP="00D66C3C">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4</w:t>
            </w:r>
          </w:p>
        </w:tc>
        <w:tc>
          <w:tcPr>
            <w:cnfStyle w:val="000100000000" w:firstRow="0" w:lastRow="0" w:firstColumn="0" w:lastColumn="1" w:oddVBand="0" w:evenVBand="0" w:oddHBand="0" w:evenHBand="0" w:firstRowFirstColumn="0" w:firstRowLastColumn="0" w:lastRowFirstColumn="0" w:lastRowLastColumn="0"/>
            <w:tcW w:w="1239"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44</w:t>
            </w:r>
          </w:p>
        </w:tc>
      </w:tr>
      <w:tr w:rsidR="00D66C3C"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rsidR="00D66C3C" w:rsidRPr="002F3BB0" w:rsidRDefault="00D66C3C"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Managing complaints</w:t>
            </w:r>
          </w:p>
        </w:tc>
        <w:tc>
          <w:tcPr>
            <w:cnfStyle w:val="000010000000" w:firstRow="0" w:lastRow="0" w:firstColumn="0" w:lastColumn="0" w:oddVBand="1" w:evenVBand="0" w:oddHBand="0" w:evenHBand="0" w:firstRowFirstColumn="0" w:firstRowLastColumn="0" w:lastRowFirstColumn="0" w:lastRowLastColumn="0"/>
            <w:tcW w:w="1500" w:type="dxa"/>
          </w:tcPr>
          <w:p w:rsidR="00D66C3C" w:rsidRPr="002F3BB0" w:rsidRDefault="00F121DD" w:rsidP="00D66C3C">
            <w:pPr>
              <w:spacing w:before="40" w:after="40"/>
              <w:jc w:val="right"/>
              <w:rPr>
                <w:rFonts w:eastAsia="Times New Roman" w:cstheme="minorHAnsi"/>
                <w:i w:val="0"/>
                <w:sz w:val="22"/>
                <w:szCs w:val="22"/>
                <w:lang w:eastAsia="en-AU"/>
              </w:rPr>
            </w:pPr>
            <w:r>
              <w:rPr>
                <w:rFonts w:eastAsia="Times New Roman" w:cstheme="minorHAnsi"/>
                <w:i w:val="0"/>
                <w:sz w:val="22"/>
                <w:szCs w:val="22"/>
                <w:lang w:eastAsia="en-AU"/>
              </w:rPr>
              <w:t>-</w:t>
            </w:r>
          </w:p>
        </w:tc>
        <w:tc>
          <w:tcPr>
            <w:tcW w:w="1040" w:type="dxa"/>
          </w:tcPr>
          <w:p w:rsidR="00D66C3C" w:rsidRPr="002F3BB0" w:rsidRDefault="00F121DD" w:rsidP="00D66C3C">
            <w:pPr>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Pr>
                <w:rFonts w:eastAsia="Times New Roman"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60" w:type="dxa"/>
          </w:tcPr>
          <w:p w:rsidR="00D66C3C" w:rsidRPr="002F3BB0" w:rsidRDefault="00F121DD" w:rsidP="00D66C3C">
            <w:pPr>
              <w:spacing w:before="40" w:after="40"/>
              <w:jc w:val="right"/>
              <w:rPr>
                <w:rFonts w:eastAsia="Times New Roman" w:cstheme="minorHAnsi"/>
                <w:i w:val="0"/>
                <w:sz w:val="22"/>
                <w:szCs w:val="22"/>
                <w:lang w:eastAsia="en-AU"/>
              </w:rPr>
            </w:pPr>
            <w:r>
              <w:rPr>
                <w:rFonts w:eastAsia="Times New Roman" w:cstheme="minorHAnsi"/>
                <w:i w:val="0"/>
                <w:sz w:val="22"/>
                <w:szCs w:val="22"/>
                <w:lang w:eastAsia="en-AU"/>
              </w:rPr>
              <w:t>-</w:t>
            </w:r>
          </w:p>
        </w:tc>
        <w:tc>
          <w:tcPr>
            <w:tcW w:w="1329" w:type="dxa"/>
          </w:tcPr>
          <w:p w:rsidR="00D66C3C" w:rsidRPr="002F3BB0" w:rsidRDefault="00565714" w:rsidP="00D66C3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2</w:t>
            </w:r>
          </w:p>
        </w:tc>
        <w:tc>
          <w:tcPr>
            <w:cnfStyle w:val="000100000000" w:firstRow="0" w:lastRow="0" w:firstColumn="0" w:lastColumn="1" w:oddVBand="0" w:evenVBand="0" w:oddHBand="0" w:evenHBand="0" w:firstRowFirstColumn="0" w:firstRowLastColumn="0" w:lastRowFirstColumn="0" w:lastRowLastColumn="0"/>
            <w:tcW w:w="1239"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2</w:t>
            </w:r>
          </w:p>
        </w:tc>
      </w:tr>
      <w:tr w:rsidR="00D66C3C" w:rsidRPr="002F3BB0" w:rsidTr="00585B86">
        <w:tc>
          <w:tcPr>
            <w:cnfStyle w:val="001000000000" w:firstRow="0" w:lastRow="0" w:firstColumn="1" w:lastColumn="0" w:oddVBand="0" w:evenVBand="0" w:oddHBand="0" w:evenHBand="0" w:firstRowFirstColumn="0" w:firstRowLastColumn="0" w:lastRowFirstColumn="0" w:lastRowLastColumn="0"/>
            <w:tcW w:w="2983" w:type="dxa"/>
          </w:tcPr>
          <w:p w:rsidR="00D66C3C" w:rsidRPr="002F3BB0" w:rsidRDefault="00D66C3C"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 xml:space="preserve">Tracking your rights - A&amp;TSI </w:t>
            </w:r>
          </w:p>
        </w:tc>
        <w:tc>
          <w:tcPr>
            <w:cnfStyle w:val="000010000000" w:firstRow="0" w:lastRow="0" w:firstColumn="0" w:lastColumn="0" w:oddVBand="1" w:evenVBand="0" w:oddHBand="0" w:evenHBand="0" w:firstRowFirstColumn="0" w:firstRowLastColumn="0" w:lastRowFirstColumn="0" w:lastRowLastColumn="0"/>
            <w:tcW w:w="1500"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5</w:t>
            </w:r>
          </w:p>
        </w:tc>
        <w:tc>
          <w:tcPr>
            <w:tcW w:w="1040" w:type="dxa"/>
          </w:tcPr>
          <w:p w:rsidR="00D66C3C" w:rsidRPr="002F3BB0" w:rsidRDefault="00F121DD" w:rsidP="00D66C3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Pr>
                <w:rFonts w:eastAsia="Times New Roman"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60" w:type="dxa"/>
          </w:tcPr>
          <w:p w:rsidR="00D66C3C" w:rsidRPr="002F3BB0" w:rsidRDefault="00F121DD" w:rsidP="00D66C3C">
            <w:pPr>
              <w:jc w:val="right"/>
              <w:rPr>
                <w:rFonts w:eastAsia="Times New Roman" w:cstheme="minorHAnsi"/>
                <w:i w:val="0"/>
                <w:sz w:val="22"/>
                <w:szCs w:val="22"/>
                <w:lang w:eastAsia="en-AU"/>
              </w:rPr>
            </w:pPr>
            <w:r>
              <w:rPr>
                <w:rFonts w:eastAsia="Times New Roman" w:cstheme="minorHAnsi"/>
                <w:i w:val="0"/>
                <w:sz w:val="22"/>
                <w:szCs w:val="22"/>
                <w:lang w:eastAsia="en-AU"/>
              </w:rPr>
              <w:t>-</w:t>
            </w:r>
          </w:p>
        </w:tc>
        <w:tc>
          <w:tcPr>
            <w:tcW w:w="1329" w:type="dxa"/>
          </w:tcPr>
          <w:p w:rsidR="00D66C3C" w:rsidRPr="002F3BB0" w:rsidRDefault="00565714" w:rsidP="00D66C3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1</w:t>
            </w:r>
          </w:p>
        </w:tc>
        <w:tc>
          <w:tcPr>
            <w:cnfStyle w:val="000100000000" w:firstRow="0" w:lastRow="0" w:firstColumn="0" w:lastColumn="1" w:oddVBand="0" w:evenVBand="0" w:oddHBand="0" w:evenHBand="0" w:firstRowFirstColumn="0" w:firstRowLastColumn="0" w:lastRowFirstColumn="0" w:lastRowLastColumn="0"/>
            <w:tcW w:w="1239"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6</w:t>
            </w:r>
          </w:p>
        </w:tc>
      </w:tr>
      <w:tr w:rsidR="00D66C3C"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rsidR="00D66C3C" w:rsidRPr="002F3BB0" w:rsidRDefault="00D66C3C"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 xml:space="preserve">Introduction to the Anti-Discrimination Act for Managers </w:t>
            </w:r>
          </w:p>
        </w:tc>
        <w:tc>
          <w:tcPr>
            <w:cnfStyle w:val="000010000000" w:firstRow="0" w:lastRow="0" w:firstColumn="0" w:lastColumn="0" w:oddVBand="1" w:evenVBand="0" w:oddHBand="0" w:evenHBand="0" w:firstRowFirstColumn="0" w:firstRowLastColumn="0" w:lastRowFirstColumn="0" w:lastRowLastColumn="0"/>
            <w:tcW w:w="1500"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19</w:t>
            </w:r>
          </w:p>
        </w:tc>
        <w:tc>
          <w:tcPr>
            <w:tcW w:w="1040" w:type="dxa"/>
          </w:tcPr>
          <w:p w:rsidR="00D66C3C" w:rsidRPr="002F3BB0" w:rsidRDefault="00565714" w:rsidP="00D66C3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19</w:t>
            </w:r>
          </w:p>
        </w:tc>
        <w:tc>
          <w:tcPr>
            <w:cnfStyle w:val="000010000000" w:firstRow="0" w:lastRow="0" w:firstColumn="0" w:lastColumn="0" w:oddVBand="1" w:evenVBand="0" w:oddHBand="0" w:evenHBand="0" w:firstRowFirstColumn="0" w:firstRowLastColumn="0" w:lastRowFirstColumn="0" w:lastRowLastColumn="0"/>
            <w:tcW w:w="860"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22</w:t>
            </w:r>
          </w:p>
        </w:tc>
        <w:tc>
          <w:tcPr>
            <w:tcW w:w="1329" w:type="dxa"/>
          </w:tcPr>
          <w:p w:rsidR="00D66C3C" w:rsidRPr="002F3BB0" w:rsidRDefault="00565714" w:rsidP="00D66C3C">
            <w:pPr>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5</w:t>
            </w:r>
          </w:p>
        </w:tc>
        <w:tc>
          <w:tcPr>
            <w:cnfStyle w:val="000100000000" w:firstRow="0" w:lastRow="0" w:firstColumn="0" w:lastColumn="1" w:oddVBand="0" w:evenVBand="0" w:oddHBand="0" w:evenHBand="0" w:firstRowFirstColumn="0" w:firstRowLastColumn="0" w:lastRowFirstColumn="0" w:lastRowLastColumn="0"/>
            <w:tcW w:w="1239"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65</w:t>
            </w:r>
          </w:p>
        </w:tc>
      </w:tr>
      <w:tr w:rsidR="00BD7F0F" w:rsidRPr="002F3BB0" w:rsidTr="00585B86">
        <w:tc>
          <w:tcPr>
            <w:cnfStyle w:val="001000000000" w:firstRow="0" w:lastRow="0" w:firstColumn="1" w:lastColumn="0" w:oddVBand="0" w:evenVBand="0" w:oddHBand="0" w:evenHBand="0" w:firstRowFirstColumn="0" w:firstRowLastColumn="0" w:lastRowFirstColumn="0" w:lastRowLastColumn="0"/>
            <w:tcW w:w="2983" w:type="dxa"/>
          </w:tcPr>
          <w:p w:rsidR="00BD7F0F" w:rsidRPr="002F3BB0" w:rsidRDefault="00BD7F0F"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Understanding Discrimination Law</w:t>
            </w:r>
            <w:r w:rsidR="00E93E73" w:rsidRPr="002F3BB0">
              <w:rPr>
                <w:rFonts w:eastAsia="Times New Roman" w:cstheme="minorHAnsi"/>
                <w:i w:val="0"/>
                <w:sz w:val="22"/>
                <w:szCs w:val="22"/>
                <w:lang w:eastAsia="en-AU"/>
              </w:rPr>
              <w:t xml:space="preserve"> (standard &amp; community organisations)</w:t>
            </w:r>
          </w:p>
        </w:tc>
        <w:tc>
          <w:tcPr>
            <w:cnfStyle w:val="000010000000" w:firstRow="0" w:lastRow="0" w:firstColumn="0" w:lastColumn="0" w:oddVBand="1" w:evenVBand="0" w:oddHBand="0" w:evenHBand="0" w:firstRowFirstColumn="0" w:firstRowLastColumn="0" w:lastRowFirstColumn="0" w:lastRowLastColumn="0"/>
            <w:tcW w:w="1500" w:type="dxa"/>
          </w:tcPr>
          <w:p w:rsidR="00BD7F0F"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10</w:t>
            </w:r>
          </w:p>
        </w:tc>
        <w:tc>
          <w:tcPr>
            <w:tcW w:w="1040" w:type="dxa"/>
          </w:tcPr>
          <w:p w:rsidR="00BD7F0F" w:rsidRPr="002F3BB0" w:rsidRDefault="00F121DD" w:rsidP="00D66C3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Pr>
                <w:rFonts w:eastAsia="Times New Roman"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60" w:type="dxa"/>
          </w:tcPr>
          <w:p w:rsidR="00BD7F0F" w:rsidRPr="002F3BB0" w:rsidRDefault="00F121DD" w:rsidP="00D66C3C">
            <w:pPr>
              <w:spacing w:before="40" w:after="40"/>
              <w:jc w:val="right"/>
              <w:rPr>
                <w:rFonts w:eastAsia="Times New Roman" w:cstheme="minorHAnsi"/>
                <w:i w:val="0"/>
                <w:sz w:val="22"/>
                <w:szCs w:val="22"/>
                <w:lang w:eastAsia="en-AU"/>
              </w:rPr>
            </w:pPr>
            <w:r>
              <w:rPr>
                <w:rFonts w:eastAsia="Times New Roman" w:cstheme="minorHAnsi"/>
                <w:i w:val="0"/>
                <w:sz w:val="22"/>
                <w:szCs w:val="22"/>
                <w:lang w:eastAsia="en-AU"/>
              </w:rPr>
              <w:t>-</w:t>
            </w:r>
          </w:p>
        </w:tc>
        <w:tc>
          <w:tcPr>
            <w:tcW w:w="1329" w:type="dxa"/>
          </w:tcPr>
          <w:p w:rsidR="00BD7F0F" w:rsidRPr="002F3BB0" w:rsidRDefault="00F121DD" w:rsidP="00D66C3C">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Pr>
                <w:rFonts w:eastAsia="Times New Roman" w:cstheme="minorHAnsi"/>
                <w:i w:val="0"/>
                <w:sz w:val="22"/>
                <w:szCs w:val="22"/>
                <w:lang w:eastAsia="en-AU"/>
              </w:rPr>
              <w:t>-</w:t>
            </w:r>
          </w:p>
        </w:tc>
        <w:tc>
          <w:tcPr>
            <w:cnfStyle w:val="000100000000" w:firstRow="0" w:lastRow="0" w:firstColumn="0" w:lastColumn="1" w:oddVBand="0" w:evenVBand="0" w:oddHBand="0" w:evenHBand="0" w:firstRowFirstColumn="0" w:firstRowLastColumn="0" w:lastRowFirstColumn="0" w:lastRowLastColumn="0"/>
            <w:tcW w:w="1239" w:type="dxa"/>
          </w:tcPr>
          <w:p w:rsidR="00BD7F0F"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10</w:t>
            </w:r>
          </w:p>
        </w:tc>
      </w:tr>
      <w:tr w:rsidR="00D66C3C"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rsidR="00D66C3C" w:rsidRPr="002F3BB0" w:rsidRDefault="00C169D8"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Tailored training</w:t>
            </w:r>
          </w:p>
        </w:tc>
        <w:tc>
          <w:tcPr>
            <w:cnfStyle w:val="000010000000" w:firstRow="0" w:lastRow="0" w:firstColumn="0" w:lastColumn="0" w:oddVBand="1" w:evenVBand="0" w:oddHBand="0" w:evenHBand="0" w:firstRowFirstColumn="0" w:firstRowLastColumn="0" w:lastRowFirstColumn="0" w:lastRowLastColumn="0"/>
            <w:tcW w:w="1500"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2</w:t>
            </w:r>
          </w:p>
        </w:tc>
        <w:tc>
          <w:tcPr>
            <w:tcW w:w="1040" w:type="dxa"/>
          </w:tcPr>
          <w:p w:rsidR="00D66C3C" w:rsidRPr="002F3BB0" w:rsidRDefault="00565714" w:rsidP="00D66C3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0</w:t>
            </w:r>
          </w:p>
        </w:tc>
        <w:tc>
          <w:tcPr>
            <w:cnfStyle w:val="000010000000" w:firstRow="0" w:lastRow="0" w:firstColumn="0" w:lastColumn="0" w:oddVBand="1" w:evenVBand="0" w:oddHBand="0" w:evenHBand="0" w:firstRowFirstColumn="0" w:firstRowLastColumn="0" w:lastRowFirstColumn="0" w:lastRowLastColumn="0"/>
            <w:tcW w:w="860"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9</w:t>
            </w:r>
          </w:p>
        </w:tc>
        <w:tc>
          <w:tcPr>
            <w:tcW w:w="1329" w:type="dxa"/>
          </w:tcPr>
          <w:p w:rsidR="00D66C3C" w:rsidRPr="002F3BB0" w:rsidRDefault="00565714" w:rsidP="00D66C3C">
            <w:pPr>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1</w:t>
            </w:r>
          </w:p>
        </w:tc>
        <w:tc>
          <w:tcPr>
            <w:cnfStyle w:val="000100000000" w:firstRow="0" w:lastRow="0" w:firstColumn="0" w:lastColumn="1" w:oddVBand="0" w:evenVBand="0" w:oddHBand="0" w:evenHBand="0" w:firstRowFirstColumn="0" w:firstRowLastColumn="0" w:lastRowFirstColumn="0" w:lastRowLastColumn="0"/>
            <w:tcW w:w="1239"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12</w:t>
            </w:r>
          </w:p>
        </w:tc>
      </w:tr>
      <w:tr w:rsidR="00D66C3C" w:rsidRPr="002F3BB0" w:rsidTr="00585B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rsidR="00D66C3C" w:rsidRPr="002F3BB0" w:rsidRDefault="00D66C3C" w:rsidP="00D66C3C">
            <w:pPr>
              <w:spacing w:before="40" w:after="40"/>
              <w:rPr>
                <w:rFonts w:eastAsia="Times New Roman" w:cstheme="minorHAnsi"/>
                <w:b w:val="0"/>
                <w:i w:val="0"/>
                <w:sz w:val="22"/>
                <w:szCs w:val="22"/>
                <w:lang w:eastAsia="en-AU"/>
              </w:rPr>
            </w:pPr>
            <w:r w:rsidRPr="002F3BB0">
              <w:rPr>
                <w:rFonts w:eastAsia="Times New Roman" w:cstheme="minorHAnsi"/>
                <w:b w:val="0"/>
                <w:i w:val="0"/>
                <w:sz w:val="22"/>
                <w:szCs w:val="22"/>
                <w:lang w:eastAsia="en-AU"/>
              </w:rPr>
              <w:t>Total</w:t>
            </w:r>
          </w:p>
        </w:tc>
        <w:tc>
          <w:tcPr>
            <w:cnfStyle w:val="000010000000" w:firstRow="0" w:lastRow="0" w:firstColumn="0" w:lastColumn="0" w:oddVBand="1" w:evenVBand="0" w:oddHBand="0" w:evenHBand="0" w:firstRowFirstColumn="0" w:firstRowLastColumn="0" w:lastRowFirstColumn="0" w:lastRowLastColumn="0"/>
            <w:tcW w:w="1500" w:type="dxa"/>
          </w:tcPr>
          <w:p w:rsidR="00D66C3C" w:rsidRPr="002F3BB0" w:rsidRDefault="00565714" w:rsidP="00D66C3C">
            <w:pPr>
              <w:spacing w:before="40" w:after="40"/>
              <w:jc w:val="right"/>
              <w:rPr>
                <w:rFonts w:eastAsia="Times New Roman" w:cstheme="minorHAnsi"/>
                <w:b w:val="0"/>
                <w:i w:val="0"/>
                <w:sz w:val="22"/>
                <w:szCs w:val="22"/>
                <w:lang w:eastAsia="en-AU"/>
              </w:rPr>
            </w:pPr>
            <w:r w:rsidRPr="002F3BB0">
              <w:rPr>
                <w:rFonts w:eastAsia="Times New Roman" w:cstheme="minorHAnsi"/>
                <w:b w:val="0"/>
                <w:i w:val="0"/>
                <w:sz w:val="22"/>
                <w:szCs w:val="22"/>
                <w:lang w:eastAsia="en-AU"/>
              </w:rPr>
              <w:t>137</w:t>
            </w:r>
          </w:p>
        </w:tc>
        <w:tc>
          <w:tcPr>
            <w:tcW w:w="1040" w:type="dxa"/>
          </w:tcPr>
          <w:p w:rsidR="00D66C3C" w:rsidRPr="002F3BB0" w:rsidRDefault="00565714" w:rsidP="00D66C3C">
            <w:pPr>
              <w:spacing w:before="40" w:after="40"/>
              <w:jc w:val="right"/>
              <w:cnfStyle w:val="010000000000" w:firstRow="0" w:lastRow="1" w:firstColumn="0" w:lastColumn="0" w:oddVBand="0" w:evenVBand="0" w:oddHBand="0" w:evenHBand="0" w:firstRowFirstColumn="0" w:firstRowLastColumn="0" w:lastRowFirstColumn="0" w:lastRowLastColumn="0"/>
              <w:rPr>
                <w:rFonts w:eastAsia="Times New Roman" w:cstheme="minorHAnsi"/>
                <w:b w:val="0"/>
                <w:i w:val="0"/>
                <w:sz w:val="22"/>
                <w:szCs w:val="22"/>
                <w:lang w:eastAsia="en-AU"/>
              </w:rPr>
            </w:pPr>
            <w:r w:rsidRPr="002F3BB0">
              <w:rPr>
                <w:rFonts w:eastAsia="Times New Roman" w:cstheme="minorHAnsi"/>
                <w:b w:val="0"/>
                <w:i w:val="0"/>
                <w:sz w:val="22"/>
                <w:szCs w:val="22"/>
                <w:lang w:eastAsia="en-AU"/>
              </w:rPr>
              <w:t>34</w:t>
            </w:r>
          </w:p>
        </w:tc>
        <w:tc>
          <w:tcPr>
            <w:cnfStyle w:val="000010000000" w:firstRow="0" w:lastRow="0" w:firstColumn="0" w:lastColumn="0" w:oddVBand="1" w:evenVBand="0" w:oddHBand="0" w:evenHBand="0" w:firstRowFirstColumn="0" w:firstRowLastColumn="0" w:lastRowFirstColumn="0" w:lastRowLastColumn="0"/>
            <w:tcW w:w="860" w:type="dxa"/>
          </w:tcPr>
          <w:p w:rsidR="00D66C3C" w:rsidRPr="002F3BB0" w:rsidRDefault="00565714" w:rsidP="00D66C3C">
            <w:pPr>
              <w:spacing w:before="40" w:after="40"/>
              <w:jc w:val="right"/>
              <w:rPr>
                <w:rFonts w:eastAsia="Times New Roman" w:cstheme="minorHAnsi"/>
                <w:b w:val="0"/>
                <w:i w:val="0"/>
                <w:sz w:val="22"/>
                <w:szCs w:val="22"/>
                <w:lang w:eastAsia="en-AU"/>
              </w:rPr>
            </w:pPr>
            <w:r w:rsidRPr="002F3BB0">
              <w:rPr>
                <w:rFonts w:eastAsia="Times New Roman" w:cstheme="minorHAnsi"/>
                <w:b w:val="0"/>
                <w:i w:val="0"/>
                <w:sz w:val="22"/>
                <w:szCs w:val="22"/>
                <w:lang w:eastAsia="en-AU"/>
              </w:rPr>
              <w:t>73</w:t>
            </w:r>
          </w:p>
        </w:tc>
        <w:tc>
          <w:tcPr>
            <w:tcW w:w="1329" w:type="dxa"/>
          </w:tcPr>
          <w:p w:rsidR="00D66C3C" w:rsidRPr="002F3BB0" w:rsidRDefault="00565714" w:rsidP="00D66C3C">
            <w:pPr>
              <w:spacing w:before="40" w:after="40"/>
              <w:jc w:val="right"/>
              <w:cnfStyle w:val="010000000000" w:firstRow="0" w:lastRow="1" w:firstColumn="0" w:lastColumn="0" w:oddVBand="0" w:evenVBand="0" w:oddHBand="0" w:evenHBand="0" w:firstRowFirstColumn="0" w:firstRowLastColumn="0" w:lastRowFirstColumn="0" w:lastRowLastColumn="0"/>
              <w:rPr>
                <w:rFonts w:eastAsia="Times New Roman" w:cstheme="minorHAnsi"/>
                <w:b w:val="0"/>
                <w:i w:val="0"/>
                <w:sz w:val="22"/>
                <w:szCs w:val="22"/>
                <w:lang w:eastAsia="en-AU"/>
              </w:rPr>
            </w:pPr>
            <w:r w:rsidRPr="002F3BB0">
              <w:rPr>
                <w:rFonts w:eastAsia="Times New Roman" w:cstheme="minorHAnsi"/>
                <w:b w:val="0"/>
                <w:i w:val="0"/>
                <w:sz w:val="22"/>
                <w:szCs w:val="22"/>
                <w:lang w:eastAsia="en-AU"/>
              </w:rPr>
              <w:t>50</w:t>
            </w:r>
          </w:p>
        </w:tc>
        <w:tc>
          <w:tcPr>
            <w:cnfStyle w:val="000100000000" w:firstRow="0" w:lastRow="0" w:firstColumn="0" w:lastColumn="1" w:oddVBand="0" w:evenVBand="0" w:oddHBand="0" w:evenHBand="0" w:firstRowFirstColumn="0" w:firstRowLastColumn="0" w:lastRowFirstColumn="0" w:lastRowLastColumn="0"/>
            <w:tcW w:w="1239" w:type="dxa"/>
          </w:tcPr>
          <w:p w:rsidR="00D66C3C" w:rsidRPr="002F3BB0" w:rsidRDefault="00565714" w:rsidP="00D66C3C">
            <w:pPr>
              <w:spacing w:before="40" w:after="40"/>
              <w:jc w:val="right"/>
              <w:rPr>
                <w:rFonts w:eastAsia="Times New Roman" w:cstheme="minorHAnsi"/>
                <w:b w:val="0"/>
                <w:i w:val="0"/>
                <w:sz w:val="22"/>
                <w:szCs w:val="22"/>
                <w:lang w:eastAsia="en-AU"/>
              </w:rPr>
            </w:pPr>
            <w:r w:rsidRPr="002F3BB0">
              <w:rPr>
                <w:rFonts w:eastAsia="Times New Roman" w:cstheme="minorHAnsi"/>
                <w:b w:val="0"/>
                <w:i w:val="0"/>
                <w:sz w:val="22"/>
                <w:szCs w:val="22"/>
                <w:lang w:eastAsia="en-AU"/>
              </w:rPr>
              <w:t>294</w:t>
            </w:r>
          </w:p>
        </w:tc>
      </w:tr>
    </w:tbl>
    <w:p w:rsidR="00FF28E1" w:rsidRPr="002F3BB0" w:rsidRDefault="00FF28E1" w:rsidP="00F20FE3">
      <w:pPr>
        <w:keepNext/>
        <w:keepLines/>
        <w:tabs>
          <w:tab w:val="left" w:pos="2340"/>
        </w:tabs>
        <w:spacing w:after="120" w:line="240" w:lineRule="auto"/>
        <w:rPr>
          <w:rFonts w:eastAsia="Times New Roman" w:cstheme="minorHAnsi"/>
          <w:bCs/>
          <w:i w:val="0"/>
          <w:sz w:val="18"/>
          <w:szCs w:val="22"/>
          <w:lang w:eastAsia="en-AU"/>
        </w:rPr>
      </w:pPr>
    </w:p>
    <w:p w:rsidR="008C4811" w:rsidRPr="002F3BB0" w:rsidRDefault="008C4811" w:rsidP="00A95273">
      <w:pPr>
        <w:keepNext/>
        <w:spacing w:after="240" w:line="240" w:lineRule="auto"/>
        <w:rPr>
          <w:rFonts w:eastAsia="Times New Roman" w:cstheme="minorHAnsi"/>
          <w:bCs/>
          <w:i w:val="0"/>
          <w:sz w:val="22"/>
          <w:szCs w:val="22"/>
          <w:lang w:eastAsia="en-AU"/>
        </w:rPr>
      </w:pPr>
      <w:r w:rsidRPr="002F3BB0">
        <w:rPr>
          <w:rFonts w:eastAsia="Times New Roman" w:cstheme="minorHAnsi"/>
          <w:bCs/>
          <w:i w:val="0"/>
          <w:sz w:val="22"/>
          <w:szCs w:val="22"/>
          <w:lang w:eastAsia="en-AU"/>
        </w:rPr>
        <w:t xml:space="preserve">The basic </w:t>
      </w:r>
      <w:r w:rsidRPr="003243FE">
        <w:rPr>
          <w:rFonts w:eastAsia="Times New Roman" w:cstheme="minorHAnsi"/>
          <w:bCs/>
          <w:i w:val="0"/>
          <w:sz w:val="22"/>
          <w:szCs w:val="22"/>
          <w:lang w:eastAsia="en-AU"/>
        </w:rPr>
        <w:t>Introduction to the Anti-Discrimination</w:t>
      </w:r>
      <w:r w:rsidRPr="00563EDB">
        <w:rPr>
          <w:rFonts w:eastAsia="Times New Roman" w:cstheme="minorHAnsi"/>
          <w:bCs/>
          <w:i w:val="0"/>
          <w:sz w:val="22"/>
          <w:szCs w:val="22"/>
          <w:lang w:eastAsia="en-AU"/>
        </w:rPr>
        <w:t xml:space="preserve"> </w:t>
      </w:r>
      <w:r w:rsidRPr="003243FE">
        <w:rPr>
          <w:rFonts w:eastAsia="Times New Roman" w:cstheme="minorHAnsi"/>
          <w:bCs/>
          <w:i w:val="0"/>
          <w:sz w:val="22"/>
          <w:szCs w:val="22"/>
          <w:lang w:eastAsia="en-AU"/>
        </w:rPr>
        <w:t>Act</w:t>
      </w:r>
      <w:r w:rsidRPr="002F3BB0">
        <w:rPr>
          <w:rFonts w:eastAsia="Times New Roman" w:cstheme="minorHAnsi"/>
          <w:bCs/>
          <w:i w:val="0"/>
          <w:sz w:val="22"/>
          <w:szCs w:val="22"/>
          <w:lang w:eastAsia="en-AU"/>
        </w:rPr>
        <w:t xml:space="preserve"> training course remained the most popular training product in 201</w:t>
      </w:r>
      <w:r w:rsidR="00465EB9" w:rsidRPr="002F3BB0">
        <w:rPr>
          <w:rFonts w:eastAsia="Times New Roman" w:cstheme="minorHAnsi"/>
          <w:bCs/>
          <w:i w:val="0"/>
          <w:sz w:val="22"/>
          <w:szCs w:val="22"/>
          <w:lang w:eastAsia="en-AU"/>
        </w:rPr>
        <w:t>3</w:t>
      </w:r>
      <w:r w:rsidRPr="002F3BB0">
        <w:rPr>
          <w:rFonts w:eastAsia="Times New Roman" w:cstheme="minorHAnsi"/>
          <w:bCs/>
          <w:i w:val="0"/>
          <w:sz w:val="22"/>
          <w:szCs w:val="22"/>
          <w:lang w:eastAsia="en-AU"/>
        </w:rPr>
        <w:t>-1</w:t>
      </w:r>
      <w:r w:rsidR="00563EDB">
        <w:rPr>
          <w:rFonts w:eastAsia="Times New Roman" w:cstheme="minorHAnsi"/>
          <w:bCs/>
          <w:i w:val="0"/>
          <w:sz w:val="22"/>
          <w:szCs w:val="22"/>
          <w:lang w:eastAsia="en-AU"/>
        </w:rPr>
        <w:t>4</w:t>
      </w:r>
      <w:r w:rsidRPr="002F3BB0">
        <w:rPr>
          <w:rFonts w:eastAsia="Times New Roman" w:cstheme="minorHAnsi"/>
          <w:bCs/>
          <w:i w:val="0"/>
          <w:sz w:val="22"/>
          <w:szCs w:val="22"/>
          <w:lang w:eastAsia="en-AU"/>
        </w:rPr>
        <w:t xml:space="preserve">, with </w:t>
      </w:r>
      <w:r w:rsidR="00465EB9" w:rsidRPr="002F3BB0">
        <w:rPr>
          <w:rFonts w:eastAsia="Times New Roman" w:cstheme="minorHAnsi"/>
          <w:bCs/>
          <w:i w:val="0"/>
          <w:sz w:val="22"/>
          <w:szCs w:val="22"/>
          <w:lang w:eastAsia="en-AU"/>
        </w:rPr>
        <w:t>155</w:t>
      </w:r>
      <w:r w:rsidRPr="002F3BB0">
        <w:rPr>
          <w:rFonts w:eastAsia="Times New Roman" w:cstheme="minorHAnsi"/>
          <w:bCs/>
          <w:i w:val="0"/>
          <w:sz w:val="22"/>
          <w:szCs w:val="22"/>
          <w:lang w:eastAsia="en-AU"/>
        </w:rPr>
        <w:t xml:space="preserve"> sessions delivered across the state. Demand for managers</w:t>
      </w:r>
      <w:r w:rsidR="00563EDB">
        <w:rPr>
          <w:rFonts w:eastAsia="Times New Roman" w:cstheme="minorHAnsi"/>
          <w:bCs/>
          <w:i w:val="0"/>
          <w:sz w:val="22"/>
          <w:szCs w:val="22"/>
          <w:lang w:eastAsia="en-AU"/>
        </w:rPr>
        <w:t>’</w:t>
      </w:r>
      <w:r w:rsidRPr="002F3BB0">
        <w:rPr>
          <w:rFonts w:eastAsia="Times New Roman" w:cstheme="minorHAnsi"/>
          <w:bCs/>
          <w:i w:val="0"/>
          <w:sz w:val="22"/>
          <w:szCs w:val="22"/>
          <w:lang w:eastAsia="en-AU"/>
        </w:rPr>
        <w:t xml:space="preserve"> training also remained strong as did </w:t>
      </w:r>
      <w:r w:rsidRPr="003243FE">
        <w:rPr>
          <w:rFonts w:eastAsia="Times New Roman" w:cstheme="minorHAnsi"/>
          <w:bCs/>
          <w:i w:val="0"/>
          <w:sz w:val="22"/>
          <w:szCs w:val="22"/>
          <w:lang w:eastAsia="en-AU"/>
        </w:rPr>
        <w:t>Contact Officer</w:t>
      </w:r>
      <w:r w:rsidRPr="002F3BB0">
        <w:rPr>
          <w:rFonts w:eastAsia="Times New Roman" w:cstheme="minorHAnsi"/>
          <w:bCs/>
          <w:i w:val="0"/>
          <w:sz w:val="22"/>
          <w:szCs w:val="22"/>
          <w:lang w:eastAsia="en-AU"/>
        </w:rPr>
        <w:t xml:space="preserve"> training. This </w:t>
      </w:r>
      <w:r w:rsidR="00465EB9" w:rsidRPr="002F3BB0">
        <w:rPr>
          <w:rFonts w:eastAsia="Times New Roman" w:cstheme="minorHAnsi"/>
          <w:bCs/>
          <w:i w:val="0"/>
          <w:sz w:val="22"/>
          <w:szCs w:val="22"/>
          <w:lang w:eastAsia="en-AU"/>
        </w:rPr>
        <w:t xml:space="preserve">continuing trend </w:t>
      </w:r>
      <w:r w:rsidR="00563EDB">
        <w:rPr>
          <w:rFonts w:eastAsia="Times New Roman" w:cstheme="minorHAnsi"/>
          <w:bCs/>
          <w:i w:val="0"/>
          <w:sz w:val="22"/>
          <w:szCs w:val="22"/>
          <w:lang w:eastAsia="en-AU"/>
        </w:rPr>
        <w:t>confirms</w:t>
      </w:r>
      <w:r w:rsidR="00563EDB" w:rsidRPr="002F3BB0">
        <w:rPr>
          <w:rFonts w:eastAsia="Times New Roman" w:cstheme="minorHAnsi"/>
          <w:bCs/>
          <w:i w:val="0"/>
          <w:sz w:val="22"/>
          <w:szCs w:val="22"/>
          <w:lang w:eastAsia="en-AU"/>
        </w:rPr>
        <w:t xml:space="preserve"> </w:t>
      </w:r>
      <w:r w:rsidRPr="002F3BB0">
        <w:rPr>
          <w:rFonts w:eastAsia="Times New Roman" w:cstheme="minorHAnsi"/>
          <w:bCs/>
          <w:i w:val="0"/>
          <w:sz w:val="22"/>
          <w:szCs w:val="22"/>
          <w:lang w:eastAsia="en-AU"/>
        </w:rPr>
        <w:t xml:space="preserve">that </w:t>
      </w:r>
      <w:r w:rsidRPr="002F3BB0">
        <w:rPr>
          <w:rFonts w:eastAsia="Times New Roman" w:cstheme="minorHAnsi"/>
          <w:bCs/>
          <w:i w:val="0"/>
          <w:sz w:val="22"/>
          <w:szCs w:val="22"/>
          <w:lang w:eastAsia="en-AU"/>
        </w:rPr>
        <w:lastRenderedPageBreak/>
        <w:t xml:space="preserve">many employers are making attempts to equip themselves and their workplaces with the knowledge and tools to combat discrimination. </w:t>
      </w:r>
      <w:r w:rsidR="00465EB9" w:rsidRPr="002F3BB0">
        <w:rPr>
          <w:rFonts w:eastAsia="Times New Roman" w:cstheme="minorHAnsi"/>
          <w:bCs/>
          <w:i w:val="0"/>
          <w:sz w:val="22"/>
          <w:szCs w:val="22"/>
          <w:lang w:eastAsia="en-AU"/>
        </w:rPr>
        <w:t xml:space="preserve">This is consistent with ADCQ website data indicating that employer resources are amongst the most frequently accessed. </w:t>
      </w:r>
      <w:r w:rsidR="00563EDB">
        <w:rPr>
          <w:rFonts w:eastAsia="Times New Roman" w:cstheme="minorHAnsi"/>
          <w:bCs/>
          <w:i w:val="0"/>
          <w:sz w:val="22"/>
          <w:szCs w:val="22"/>
          <w:lang w:eastAsia="en-AU"/>
        </w:rPr>
        <w:t>Based on this information,</w:t>
      </w:r>
      <w:r w:rsidR="00465EB9" w:rsidRPr="002F3BB0">
        <w:rPr>
          <w:rFonts w:eastAsia="Times New Roman" w:cstheme="minorHAnsi"/>
          <w:bCs/>
          <w:i w:val="0"/>
          <w:sz w:val="22"/>
          <w:szCs w:val="22"/>
          <w:lang w:eastAsia="en-AU"/>
        </w:rPr>
        <w:t xml:space="preserve"> the ADCQ will continue to deliver and refine these training courses to provide support and information to employers and employees</w:t>
      </w:r>
      <w:r w:rsidR="00563EDB">
        <w:rPr>
          <w:rFonts w:eastAsia="Times New Roman" w:cstheme="minorHAnsi"/>
          <w:bCs/>
          <w:i w:val="0"/>
          <w:sz w:val="22"/>
          <w:szCs w:val="22"/>
          <w:lang w:eastAsia="en-AU"/>
        </w:rPr>
        <w:t xml:space="preserve"> in Queensland</w:t>
      </w:r>
      <w:r w:rsidR="00465EB9" w:rsidRPr="002F3BB0">
        <w:rPr>
          <w:rFonts w:eastAsia="Times New Roman" w:cstheme="minorHAnsi"/>
          <w:bCs/>
          <w:i w:val="0"/>
          <w:sz w:val="22"/>
          <w:szCs w:val="22"/>
          <w:lang w:eastAsia="en-AU"/>
        </w:rPr>
        <w:t>.</w:t>
      </w:r>
    </w:p>
    <w:p w:rsidR="00EF2A88" w:rsidRPr="002F3BB0" w:rsidRDefault="00465EB9" w:rsidP="00A95273">
      <w:pPr>
        <w:spacing w:before="120" w:after="120" w:line="240" w:lineRule="auto"/>
        <w:rPr>
          <w:rFonts w:cstheme="minorHAnsi"/>
          <w:i w:val="0"/>
          <w:sz w:val="22"/>
          <w:szCs w:val="22"/>
        </w:rPr>
      </w:pPr>
      <w:r w:rsidRPr="002F3BB0">
        <w:rPr>
          <w:rFonts w:eastAsia="Times New Roman" w:cstheme="minorHAnsi"/>
          <w:bCs/>
          <w:i w:val="0"/>
          <w:sz w:val="22"/>
          <w:szCs w:val="22"/>
          <w:lang w:eastAsia="en-AU"/>
        </w:rPr>
        <w:t xml:space="preserve">The ADCQ’s first online training module was developed in 2013-14. Discrimination Awareness in Queensland is a 45 minute interactive online training session that provides a brief overview of rights and responsibilities under the </w:t>
      </w:r>
      <w:r w:rsidRPr="002F3BB0">
        <w:rPr>
          <w:rFonts w:eastAsia="Times New Roman" w:cstheme="minorHAnsi"/>
          <w:bCs/>
          <w:sz w:val="22"/>
          <w:szCs w:val="22"/>
          <w:lang w:eastAsia="en-AU"/>
        </w:rPr>
        <w:t xml:space="preserve">Anti-Discrimination Act 1991. </w:t>
      </w:r>
      <w:r w:rsidR="00EF2A88" w:rsidRPr="002F3BB0">
        <w:rPr>
          <w:rFonts w:cstheme="minorHAnsi"/>
          <w:i w:val="0"/>
          <w:sz w:val="22"/>
          <w:szCs w:val="22"/>
        </w:rPr>
        <w:t xml:space="preserve">The module is intended to complement rather than replace face-to-face training, </w:t>
      </w:r>
      <w:r w:rsidR="00EA2A9B">
        <w:rPr>
          <w:rFonts w:cstheme="minorHAnsi"/>
          <w:i w:val="0"/>
          <w:sz w:val="22"/>
          <w:szCs w:val="22"/>
        </w:rPr>
        <w:t xml:space="preserve">and </w:t>
      </w:r>
      <w:r w:rsidR="00EF2A88" w:rsidRPr="002F3BB0">
        <w:rPr>
          <w:rFonts w:cstheme="minorHAnsi"/>
          <w:i w:val="0"/>
          <w:sz w:val="22"/>
          <w:szCs w:val="22"/>
        </w:rPr>
        <w:t xml:space="preserve">is an ideal tool for staff induction and refresher training. It also provides </w:t>
      </w:r>
      <w:r w:rsidR="00EA2A9B">
        <w:rPr>
          <w:rFonts w:cstheme="minorHAnsi"/>
          <w:i w:val="0"/>
          <w:sz w:val="22"/>
          <w:szCs w:val="22"/>
        </w:rPr>
        <w:t>a readily available</w:t>
      </w:r>
      <w:r w:rsidR="00EF2A88" w:rsidRPr="002F3BB0">
        <w:rPr>
          <w:rFonts w:cstheme="minorHAnsi"/>
          <w:i w:val="0"/>
          <w:sz w:val="22"/>
          <w:szCs w:val="22"/>
        </w:rPr>
        <w:t xml:space="preserve"> training option for small business operators and others who </w:t>
      </w:r>
      <w:r w:rsidR="00EA2A9B">
        <w:rPr>
          <w:rFonts w:cstheme="minorHAnsi"/>
          <w:i w:val="0"/>
          <w:sz w:val="22"/>
          <w:szCs w:val="22"/>
        </w:rPr>
        <w:t>are</w:t>
      </w:r>
      <w:r w:rsidR="00EF2A88" w:rsidRPr="002F3BB0">
        <w:rPr>
          <w:rFonts w:cstheme="minorHAnsi"/>
          <w:i w:val="0"/>
          <w:sz w:val="22"/>
          <w:szCs w:val="22"/>
        </w:rPr>
        <w:t xml:space="preserve"> unable to </w:t>
      </w:r>
      <w:r w:rsidR="00EA2A9B">
        <w:rPr>
          <w:rFonts w:cstheme="minorHAnsi"/>
          <w:i w:val="0"/>
          <w:sz w:val="22"/>
          <w:szCs w:val="22"/>
        </w:rPr>
        <w:t>undertake</w:t>
      </w:r>
      <w:r w:rsidR="00EA2A9B" w:rsidRPr="002F3BB0">
        <w:rPr>
          <w:rFonts w:cstheme="minorHAnsi"/>
          <w:i w:val="0"/>
          <w:sz w:val="22"/>
          <w:szCs w:val="22"/>
        </w:rPr>
        <w:t xml:space="preserve"> </w:t>
      </w:r>
      <w:r w:rsidR="00EF2A88" w:rsidRPr="002F3BB0">
        <w:rPr>
          <w:rFonts w:cstheme="minorHAnsi"/>
          <w:i w:val="0"/>
          <w:sz w:val="22"/>
          <w:szCs w:val="22"/>
        </w:rPr>
        <w:t>face-to-face training for various reasons.</w:t>
      </w:r>
      <w:r w:rsidR="004B1EE7" w:rsidRPr="002F3BB0">
        <w:rPr>
          <w:rFonts w:cstheme="minorHAnsi"/>
          <w:i w:val="0"/>
          <w:sz w:val="22"/>
          <w:szCs w:val="22"/>
        </w:rPr>
        <w:t xml:space="preserve"> An accessible alternative of the module is also available for visually impaired participants who utilise screen reading technology. The online training module was released in late June 2014 and is anticipated to have a significant impact on ADCQ’s training data in 2014-15. </w:t>
      </w:r>
    </w:p>
    <w:p w:rsidR="00942AFC" w:rsidRPr="002F3BB0" w:rsidRDefault="00942AFC" w:rsidP="00A95273">
      <w:pPr>
        <w:spacing w:before="240" w:after="120" w:line="240" w:lineRule="auto"/>
        <w:rPr>
          <w:rFonts w:cstheme="minorHAnsi"/>
          <w:i w:val="0"/>
          <w:sz w:val="22"/>
          <w:szCs w:val="22"/>
        </w:rPr>
      </w:pPr>
      <w:r w:rsidRPr="002F3BB0">
        <w:rPr>
          <w:rFonts w:cstheme="minorHAnsi"/>
          <w:i w:val="0"/>
          <w:sz w:val="22"/>
          <w:szCs w:val="22"/>
        </w:rPr>
        <w:t>Training revenue for 201</w:t>
      </w:r>
      <w:r w:rsidR="00465EB9" w:rsidRPr="002F3BB0">
        <w:rPr>
          <w:rFonts w:cstheme="minorHAnsi"/>
          <w:i w:val="0"/>
          <w:sz w:val="22"/>
          <w:szCs w:val="22"/>
        </w:rPr>
        <w:t>3</w:t>
      </w:r>
      <w:r w:rsidRPr="002F3BB0">
        <w:rPr>
          <w:rFonts w:cstheme="minorHAnsi"/>
          <w:i w:val="0"/>
          <w:sz w:val="22"/>
          <w:szCs w:val="22"/>
        </w:rPr>
        <w:t>-1</w:t>
      </w:r>
      <w:r w:rsidR="00465EB9" w:rsidRPr="002F3BB0">
        <w:rPr>
          <w:rFonts w:cstheme="minorHAnsi"/>
          <w:i w:val="0"/>
          <w:sz w:val="22"/>
          <w:szCs w:val="22"/>
        </w:rPr>
        <w:t>4 slightly exceeded the target of</w:t>
      </w:r>
      <w:r w:rsidRPr="002F3BB0">
        <w:rPr>
          <w:rFonts w:cstheme="minorHAnsi"/>
          <w:i w:val="0"/>
          <w:sz w:val="22"/>
          <w:szCs w:val="22"/>
        </w:rPr>
        <w:t xml:space="preserve"> $180</w:t>
      </w:r>
      <w:r w:rsidR="00EC760B">
        <w:rPr>
          <w:rFonts w:cstheme="minorHAnsi"/>
          <w:i w:val="0"/>
          <w:sz w:val="22"/>
          <w:szCs w:val="22"/>
        </w:rPr>
        <w:t>,</w:t>
      </w:r>
      <w:r w:rsidRPr="002F3BB0">
        <w:rPr>
          <w:rFonts w:cstheme="minorHAnsi"/>
          <w:i w:val="0"/>
          <w:sz w:val="22"/>
          <w:szCs w:val="22"/>
        </w:rPr>
        <w:t xml:space="preserve">900 </w:t>
      </w:r>
      <w:r w:rsidR="00542247">
        <w:rPr>
          <w:rFonts w:cstheme="minorHAnsi"/>
          <w:i w:val="0"/>
          <w:sz w:val="22"/>
          <w:szCs w:val="22"/>
        </w:rPr>
        <w:t xml:space="preserve">to reach </w:t>
      </w:r>
      <w:proofErr w:type="gramStart"/>
      <w:r w:rsidR="00465EB9" w:rsidRPr="002F3BB0">
        <w:rPr>
          <w:rFonts w:cstheme="minorHAnsi"/>
          <w:i w:val="0"/>
          <w:sz w:val="22"/>
          <w:szCs w:val="22"/>
        </w:rPr>
        <w:t>a total</w:t>
      </w:r>
      <w:proofErr w:type="gramEnd"/>
      <w:r w:rsidR="00465EB9" w:rsidRPr="002F3BB0">
        <w:rPr>
          <w:rFonts w:cstheme="minorHAnsi"/>
          <w:i w:val="0"/>
          <w:sz w:val="22"/>
          <w:szCs w:val="22"/>
        </w:rPr>
        <w:t xml:space="preserve"> </w:t>
      </w:r>
      <w:r w:rsidR="00542247">
        <w:rPr>
          <w:rFonts w:cstheme="minorHAnsi"/>
          <w:i w:val="0"/>
          <w:sz w:val="22"/>
          <w:szCs w:val="22"/>
        </w:rPr>
        <w:t xml:space="preserve">revenue </w:t>
      </w:r>
      <w:r w:rsidR="00465EB9" w:rsidRPr="002F3BB0">
        <w:rPr>
          <w:rFonts w:cstheme="minorHAnsi"/>
          <w:i w:val="0"/>
          <w:sz w:val="22"/>
          <w:szCs w:val="22"/>
        </w:rPr>
        <w:t>of $182,802 this year.  This is consistent with the increased number of sessions delivered overall, and the increase in fee-for-service training to the private and public sectors.</w:t>
      </w:r>
    </w:p>
    <w:p w:rsidR="00C11B09" w:rsidRPr="002F3BB0" w:rsidRDefault="00C11B09" w:rsidP="00A5281C">
      <w:pPr>
        <w:pStyle w:val="Caption"/>
        <w:keepNext/>
        <w:spacing w:before="240" w:after="240" w:line="240" w:lineRule="auto"/>
        <w:rPr>
          <w:color w:val="595959" w:themeColor="accent2" w:themeShade="80"/>
          <w:sz w:val="22"/>
        </w:rPr>
      </w:pPr>
      <w:r w:rsidRPr="002F3BB0">
        <w:rPr>
          <w:color w:val="595959" w:themeColor="accent2" w:themeShade="80"/>
          <w:sz w:val="22"/>
        </w:rPr>
        <w:t xml:space="preserve">Table </w:t>
      </w:r>
      <w:r w:rsidR="0033101E">
        <w:rPr>
          <w:color w:val="595959" w:themeColor="accent2" w:themeShade="80"/>
          <w:sz w:val="22"/>
        </w:rPr>
        <w:t>7</w:t>
      </w:r>
      <w:r w:rsidR="009D5BD8">
        <w:rPr>
          <w:color w:val="595959" w:themeColor="accent2" w:themeShade="80"/>
          <w:sz w:val="22"/>
        </w:rPr>
        <w:t>:</w:t>
      </w:r>
      <w:r w:rsidRPr="002F3BB0">
        <w:rPr>
          <w:color w:val="595959" w:themeColor="accent2" w:themeShade="80"/>
          <w:sz w:val="22"/>
        </w:rPr>
        <w:t xml:space="preserve"> Details of training sessions</w:t>
      </w:r>
    </w:p>
    <w:tbl>
      <w:tblPr>
        <w:tblStyle w:val="LightList-Accent5"/>
        <w:tblW w:w="0" w:type="auto"/>
        <w:tblLook w:val="01E0" w:firstRow="1" w:lastRow="1" w:firstColumn="1" w:lastColumn="1" w:noHBand="0" w:noVBand="0"/>
        <w:tblDescription w:val="Details of training sessions"/>
      </w:tblPr>
      <w:tblGrid>
        <w:gridCol w:w="1903"/>
        <w:gridCol w:w="1488"/>
        <w:gridCol w:w="1317"/>
        <w:gridCol w:w="1483"/>
        <w:gridCol w:w="1358"/>
        <w:gridCol w:w="1421"/>
      </w:tblGrid>
      <w:tr w:rsidR="00D66C3C" w:rsidRPr="002F3BB0" w:rsidTr="007447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3" w:type="dxa"/>
          </w:tcPr>
          <w:p w:rsidR="00D66C3C" w:rsidRPr="002F3BB0" w:rsidRDefault="00D66C3C" w:rsidP="00D66C3C">
            <w:pPr>
              <w:spacing w:before="40" w:after="40"/>
              <w:rPr>
                <w:rFonts w:eastAsia="Times New Roman" w:cstheme="minorHAnsi"/>
                <w:i w:val="0"/>
                <w:color w:val="FF000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1488" w:type="dxa"/>
          </w:tcPr>
          <w:p w:rsidR="00D66C3C" w:rsidRPr="002F3BB0" w:rsidRDefault="00D66C3C" w:rsidP="00D66C3C">
            <w:pPr>
              <w:keepNext/>
              <w:keepLines/>
              <w:tabs>
                <w:tab w:val="left" w:pos="2340"/>
              </w:tabs>
              <w:spacing w:before="40" w:after="40"/>
              <w:rPr>
                <w:rFonts w:eastAsia="Times New Roman" w:cstheme="minorHAnsi"/>
                <w:b w:val="0"/>
                <w:bCs w:val="0"/>
                <w:i w:val="0"/>
                <w:sz w:val="22"/>
                <w:szCs w:val="22"/>
                <w:lang w:eastAsia="en-AU"/>
              </w:rPr>
            </w:pPr>
            <w:r w:rsidRPr="002F3BB0">
              <w:rPr>
                <w:rFonts w:eastAsia="Times New Roman" w:cstheme="minorHAnsi"/>
                <w:b w:val="0"/>
                <w:bCs w:val="0"/>
                <w:i w:val="0"/>
                <w:sz w:val="22"/>
                <w:szCs w:val="22"/>
                <w:lang w:eastAsia="en-AU"/>
              </w:rPr>
              <w:t>South-East</w:t>
            </w:r>
          </w:p>
        </w:tc>
        <w:tc>
          <w:tcPr>
            <w:tcW w:w="1317" w:type="dxa"/>
          </w:tcPr>
          <w:p w:rsidR="00D66C3C" w:rsidRPr="002F3BB0" w:rsidRDefault="00D66C3C" w:rsidP="00D66C3C">
            <w:pPr>
              <w:keepNext/>
              <w:keepLines/>
              <w:tabs>
                <w:tab w:val="left" w:pos="2340"/>
              </w:tabs>
              <w:spacing w:before="40" w:after="4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val="0"/>
                <w:sz w:val="22"/>
                <w:szCs w:val="22"/>
                <w:lang w:eastAsia="en-AU"/>
              </w:rPr>
            </w:pPr>
            <w:r w:rsidRPr="002F3BB0">
              <w:rPr>
                <w:rFonts w:eastAsia="Times New Roman" w:cstheme="minorHAnsi"/>
                <w:b w:val="0"/>
                <w:bCs w:val="0"/>
                <w:i w:val="0"/>
                <w:sz w:val="22"/>
                <w:szCs w:val="22"/>
                <w:lang w:eastAsia="en-AU"/>
              </w:rPr>
              <w:t>Central</w:t>
            </w:r>
          </w:p>
        </w:tc>
        <w:tc>
          <w:tcPr>
            <w:cnfStyle w:val="000010000000" w:firstRow="0" w:lastRow="0" w:firstColumn="0" w:lastColumn="0" w:oddVBand="1" w:evenVBand="0" w:oddHBand="0" w:evenHBand="0" w:firstRowFirstColumn="0" w:firstRowLastColumn="0" w:lastRowFirstColumn="0" w:lastRowLastColumn="0"/>
            <w:tcW w:w="1483" w:type="dxa"/>
          </w:tcPr>
          <w:p w:rsidR="00D66C3C" w:rsidRPr="002F3BB0" w:rsidRDefault="00D66C3C" w:rsidP="00D66C3C">
            <w:pPr>
              <w:keepNext/>
              <w:keepLines/>
              <w:tabs>
                <w:tab w:val="left" w:pos="2340"/>
              </w:tabs>
              <w:spacing w:before="40" w:after="40"/>
              <w:rPr>
                <w:rFonts w:eastAsia="Times New Roman" w:cstheme="minorHAnsi"/>
                <w:b w:val="0"/>
                <w:bCs w:val="0"/>
                <w:i w:val="0"/>
                <w:sz w:val="22"/>
                <w:szCs w:val="22"/>
                <w:lang w:eastAsia="en-AU"/>
              </w:rPr>
            </w:pPr>
            <w:r w:rsidRPr="002F3BB0">
              <w:rPr>
                <w:rFonts w:eastAsia="Times New Roman" w:cstheme="minorHAnsi"/>
                <w:b w:val="0"/>
                <w:bCs w:val="0"/>
                <w:i w:val="0"/>
                <w:sz w:val="22"/>
                <w:szCs w:val="22"/>
                <w:lang w:eastAsia="en-AU"/>
              </w:rPr>
              <w:t>North</w:t>
            </w:r>
          </w:p>
        </w:tc>
        <w:tc>
          <w:tcPr>
            <w:tcW w:w="1358" w:type="dxa"/>
          </w:tcPr>
          <w:p w:rsidR="00D66C3C" w:rsidRPr="002F3BB0" w:rsidRDefault="00D66C3C" w:rsidP="00D66C3C">
            <w:pPr>
              <w:keepNext/>
              <w:keepLines/>
              <w:tabs>
                <w:tab w:val="left" w:pos="2340"/>
              </w:tabs>
              <w:spacing w:before="40" w:after="4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val="0"/>
                <w:sz w:val="22"/>
                <w:szCs w:val="22"/>
                <w:lang w:eastAsia="en-AU"/>
              </w:rPr>
            </w:pPr>
            <w:r w:rsidRPr="002F3BB0">
              <w:rPr>
                <w:rFonts w:eastAsia="Times New Roman" w:cstheme="minorHAnsi"/>
                <w:b w:val="0"/>
                <w:bCs w:val="0"/>
                <w:i w:val="0"/>
                <w:sz w:val="22"/>
                <w:szCs w:val="22"/>
                <w:lang w:eastAsia="en-AU"/>
              </w:rPr>
              <w:t>Far North</w:t>
            </w:r>
          </w:p>
        </w:tc>
        <w:tc>
          <w:tcPr>
            <w:cnfStyle w:val="000100000000" w:firstRow="0" w:lastRow="0" w:firstColumn="0" w:lastColumn="1" w:oddVBand="0" w:evenVBand="0" w:oddHBand="0" w:evenHBand="0" w:firstRowFirstColumn="0" w:firstRowLastColumn="0" w:lastRowFirstColumn="0" w:lastRowLastColumn="0"/>
            <w:tcW w:w="1421" w:type="dxa"/>
          </w:tcPr>
          <w:p w:rsidR="00D66C3C" w:rsidRPr="002F3BB0" w:rsidRDefault="00D66C3C" w:rsidP="00D66C3C">
            <w:pPr>
              <w:keepNext/>
              <w:keepLines/>
              <w:tabs>
                <w:tab w:val="left" w:pos="2340"/>
              </w:tabs>
              <w:spacing w:before="40" w:after="40"/>
              <w:rPr>
                <w:rFonts w:eastAsia="Times New Roman" w:cstheme="minorHAnsi"/>
                <w:b w:val="0"/>
                <w:bCs w:val="0"/>
                <w:i w:val="0"/>
                <w:sz w:val="22"/>
                <w:szCs w:val="22"/>
                <w:lang w:eastAsia="en-AU"/>
              </w:rPr>
            </w:pPr>
            <w:r w:rsidRPr="002F3BB0">
              <w:rPr>
                <w:rFonts w:eastAsia="Times New Roman" w:cstheme="minorHAnsi"/>
                <w:b w:val="0"/>
                <w:bCs w:val="0"/>
                <w:i w:val="0"/>
                <w:sz w:val="22"/>
                <w:szCs w:val="22"/>
                <w:lang w:eastAsia="en-AU"/>
              </w:rPr>
              <w:t>Total</w:t>
            </w:r>
          </w:p>
        </w:tc>
      </w:tr>
      <w:tr w:rsidR="00D66C3C"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Pr>
          <w:p w:rsidR="00D66C3C" w:rsidRPr="002F3BB0" w:rsidRDefault="00D66C3C"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No. of people</w:t>
            </w:r>
          </w:p>
        </w:tc>
        <w:tc>
          <w:tcPr>
            <w:cnfStyle w:val="000010000000" w:firstRow="0" w:lastRow="0" w:firstColumn="0" w:lastColumn="0" w:oddVBand="1" w:evenVBand="0" w:oddHBand="0" w:evenHBand="0" w:firstRowFirstColumn="0" w:firstRowLastColumn="0" w:lastRowFirstColumn="0" w:lastRowLastColumn="0"/>
            <w:tcW w:w="1488"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1917</w:t>
            </w:r>
          </w:p>
        </w:tc>
        <w:tc>
          <w:tcPr>
            <w:tcW w:w="1317" w:type="dxa"/>
          </w:tcPr>
          <w:p w:rsidR="00D66C3C" w:rsidRPr="002F3BB0" w:rsidRDefault="00565714" w:rsidP="00D66C3C">
            <w:pPr>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236</w:t>
            </w:r>
          </w:p>
        </w:tc>
        <w:tc>
          <w:tcPr>
            <w:cnfStyle w:val="000010000000" w:firstRow="0" w:lastRow="0" w:firstColumn="0" w:lastColumn="0" w:oddVBand="1" w:evenVBand="0" w:oddHBand="0" w:evenHBand="0" w:firstRowFirstColumn="0" w:firstRowLastColumn="0" w:lastRowFirstColumn="0" w:lastRowLastColumn="0"/>
            <w:tcW w:w="1483"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1106</w:t>
            </w:r>
          </w:p>
        </w:tc>
        <w:tc>
          <w:tcPr>
            <w:tcW w:w="1358" w:type="dxa"/>
          </w:tcPr>
          <w:p w:rsidR="00D66C3C" w:rsidRPr="002F3BB0" w:rsidRDefault="00565714" w:rsidP="00D66C3C">
            <w:pPr>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840</w:t>
            </w:r>
          </w:p>
        </w:tc>
        <w:tc>
          <w:tcPr>
            <w:cnfStyle w:val="000100000000" w:firstRow="0" w:lastRow="0" w:firstColumn="0" w:lastColumn="1" w:oddVBand="0" w:evenVBand="0" w:oddHBand="0" w:evenHBand="0" w:firstRowFirstColumn="0" w:firstRowLastColumn="0" w:lastRowFirstColumn="0" w:lastRowLastColumn="0"/>
            <w:tcW w:w="1421"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4099</w:t>
            </w:r>
          </w:p>
        </w:tc>
      </w:tr>
      <w:tr w:rsidR="00D66C3C" w:rsidRPr="002F3BB0" w:rsidTr="00585B86">
        <w:tc>
          <w:tcPr>
            <w:cnfStyle w:val="001000000000" w:firstRow="0" w:lastRow="0" w:firstColumn="1" w:lastColumn="0" w:oddVBand="0" w:evenVBand="0" w:oddHBand="0" w:evenHBand="0" w:firstRowFirstColumn="0" w:firstRowLastColumn="0" w:lastRowFirstColumn="0" w:lastRowLastColumn="0"/>
            <w:tcW w:w="1903" w:type="dxa"/>
          </w:tcPr>
          <w:p w:rsidR="00D66C3C" w:rsidRPr="002F3BB0" w:rsidRDefault="00D66C3C"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Hours of delivery</w:t>
            </w:r>
          </w:p>
        </w:tc>
        <w:tc>
          <w:tcPr>
            <w:cnfStyle w:val="000010000000" w:firstRow="0" w:lastRow="0" w:firstColumn="0" w:lastColumn="0" w:oddVBand="1" w:evenVBand="0" w:oddHBand="0" w:evenHBand="0" w:firstRowFirstColumn="0" w:firstRowLastColumn="0" w:lastRowFirstColumn="0" w:lastRowLastColumn="0"/>
            <w:tcW w:w="1488"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396</w:t>
            </w:r>
          </w:p>
        </w:tc>
        <w:tc>
          <w:tcPr>
            <w:tcW w:w="1317" w:type="dxa"/>
          </w:tcPr>
          <w:p w:rsidR="00D66C3C" w:rsidRPr="002F3BB0" w:rsidRDefault="00565714" w:rsidP="00D66C3C">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130</w:t>
            </w:r>
          </w:p>
        </w:tc>
        <w:tc>
          <w:tcPr>
            <w:cnfStyle w:val="000010000000" w:firstRow="0" w:lastRow="0" w:firstColumn="0" w:lastColumn="0" w:oddVBand="1" w:evenVBand="0" w:oddHBand="0" w:evenHBand="0" w:firstRowFirstColumn="0" w:firstRowLastColumn="0" w:lastRowFirstColumn="0" w:lastRowLastColumn="0"/>
            <w:tcW w:w="1483"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222</w:t>
            </w:r>
          </w:p>
        </w:tc>
        <w:tc>
          <w:tcPr>
            <w:tcW w:w="1358" w:type="dxa"/>
          </w:tcPr>
          <w:p w:rsidR="00D66C3C" w:rsidRPr="002F3BB0" w:rsidRDefault="00565714" w:rsidP="00D66C3C">
            <w:pPr>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137</w:t>
            </w:r>
          </w:p>
        </w:tc>
        <w:tc>
          <w:tcPr>
            <w:cnfStyle w:val="000100000000" w:firstRow="0" w:lastRow="0" w:firstColumn="0" w:lastColumn="1" w:oddVBand="0" w:evenVBand="0" w:oddHBand="0" w:evenHBand="0" w:firstRowFirstColumn="0" w:firstRowLastColumn="0" w:lastRowFirstColumn="0" w:lastRowLastColumn="0"/>
            <w:tcW w:w="1421"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885</w:t>
            </w:r>
          </w:p>
        </w:tc>
      </w:tr>
      <w:tr w:rsidR="00D66C3C" w:rsidRPr="002F3BB0" w:rsidTr="00585B86">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03" w:type="dxa"/>
          </w:tcPr>
          <w:p w:rsidR="00D66C3C" w:rsidRPr="002F3BB0" w:rsidRDefault="00D66C3C" w:rsidP="00D66C3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Actual Revenue</w:t>
            </w:r>
          </w:p>
        </w:tc>
        <w:tc>
          <w:tcPr>
            <w:cnfStyle w:val="000010000000" w:firstRow="0" w:lastRow="0" w:firstColumn="0" w:lastColumn="0" w:oddVBand="1" w:evenVBand="0" w:oddHBand="0" w:evenHBand="0" w:firstRowFirstColumn="0" w:firstRowLastColumn="0" w:lastRowFirstColumn="0" w:lastRowLastColumn="0"/>
            <w:tcW w:w="1488"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$72,018</w:t>
            </w:r>
          </w:p>
        </w:tc>
        <w:tc>
          <w:tcPr>
            <w:tcW w:w="1317" w:type="dxa"/>
          </w:tcPr>
          <w:p w:rsidR="00D66C3C" w:rsidRPr="002F3BB0" w:rsidRDefault="00565714" w:rsidP="00D66C3C">
            <w:pPr>
              <w:spacing w:before="40" w:after="40"/>
              <w:jc w:val="right"/>
              <w:cnfStyle w:val="010000000000" w:firstRow="0" w:lastRow="1"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$25,064</w:t>
            </w:r>
          </w:p>
        </w:tc>
        <w:tc>
          <w:tcPr>
            <w:cnfStyle w:val="000010000000" w:firstRow="0" w:lastRow="0" w:firstColumn="0" w:lastColumn="0" w:oddVBand="1" w:evenVBand="0" w:oddHBand="0" w:evenHBand="0" w:firstRowFirstColumn="0" w:firstRowLastColumn="0" w:lastRowFirstColumn="0" w:lastRowLastColumn="0"/>
            <w:tcW w:w="1483"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$60,830</w:t>
            </w:r>
          </w:p>
        </w:tc>
        <w:tc>
          <w:tcPr>
            <w:tcW w:w="1358" w:type="dxa"/>
          </w:tcPr>
          <w:p w:rsidR="00D66C3C" w:rsidRPr="002F3BB0" w:rsidRDefault="00565714" w:rsidP="00D66C3C">
            <w:pPr>
              <w:spacing w:before="40" w:after="40"/>
              <w:jc w:val="right"/>
              <w:cnfStyle w:val="010000000000" w:firstRow="0" w:lastRow="1"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$24,890</w:t>
            </w:r>
          </w:p>
        </w:tc>
        <w:tc>
          <w:tcPr>
            <w:cnfStyle w:val="000100000000" w:firstRow="0" w:lastRow="0" w:firstColumn="0" w:lastColumn="1" w:oddVBand="0" w:evenVBand="0" w:oddHBand="0" w:evenHBand="0" w:firstRowFirstColumn="0" w:firstRowLastColumn="0" w:lastRowFirstColumn="0" w:lastRowLastColumn="0"/>
            <w:tcW w:w="1421" w:type="dxa"/>
          </w:tcPr>
          <w:p w:rsidR="00D66C3C" w:rsidRPr="002F3BB0" w:rsidRDefault="00565714" w:rsidP="00D66C3C">
            <w:pPr>
              <w:spacing w:before="40" w:after="40"/>
              <w:jc w:val="right"/>
              <w:rPr>
                <w:rFonts w:eastAsia="Times New Roman" w:cstheme="minorHAnsi"/>
                <w:i w:val="0"/>
                <w:sz w:val="22"/>
                <w:szCs w:val="22"/>
                <w:lang w:eastAsia="en-AU"/>
              </w:rPr>
            </w:pPr>
            <w:r w:rsidRPr="002F3BB0">
              <w:rPr>
                <w:rFonts w:eastAsia="Times New Roman" w:cstheme="minorHAnsi"/>
                <w:i w:val="0"/>
                <w:sz w:val="22"/>
                <w:szCs w:val="22"/>
                <w:lang w:eastAsia="en-AU"/>
              </w:rPr>
              <w:t>$182,802</w:t>
            </w:r>
          </w:p>
        </w:tc>
      </w:tr>
    </w:tbl>
    <w:p w:rsidR="001F2B2C" w:rsidRPr="002F3BB0" w:rsidRDefault="001F2B2C" w:rsidP="00BF30CC">
      <w:pPr>
        <w:pStyle w:val="Heading2"/>
        <w:rPr>
          <w:rFonts w:cstheme="minorHAnsi"/>
          <w:b w:val="0"/>
          <w:i/>
        </w:rPr>
      </w:pPr>
      <w:r w:rsidRPr="00BF30CC">
        <w:t>Evaluation</w:t>
      </w:r>
    </w:p>
    <w:p w:rsidR="004B1EE7" w:rsidRPr="002F3BB0" w:rsidRDefault="001F2B2C" w:rsidP="004F0720">
      <w:pPr>
        <w:spacing w:after="120" w:line="240" w:lineRule="auto"/>
        <w:rPr>
          <w:rFonts w:cstheme="minorHAnsi"/>
          <w:i w:val="0"/>
          <w:sz w:val="22"/>
          <w:szCs w:val="22"/>
        </w:rPr>
      </w:pPr>
      <w:r w:rsidRPr="002F3BB0">
        <w:rPr>
          <w:rFonts w:cstheme="minorHAnsi"/>
          <w:i w:val="0"/>
          <w:sz w:val="22"/>
          <w:szCs w:val="22"/>
        </w:rPr>
        <w:t xml:space="preserve">As part of the </w:t>
      </w:r>
      <w:r w:rsidR="008119E2" w:rsidRPr="002F3BB0">
        <w:rPr>
          <w:rFonts w:cstheme="minorHAnsi"/>
          <w:i w:val="0"/>
          <w:sz w:val="22"/>
          <w:szCs w:val="22"/>
        </w:rPr>
        <w:t>ADCQ</w:t>
      </w:r>
      <w:r w:rsidRPr="002F3BB0">
        <w:rPr>
          <w:rFonts w:cstheme="minorHAnsi"/>
          <w:i w:val="0"/>
          <w:sz w:val="22"/>
          <w:szCs w:val="22"/>
        </w:rPr>
        <w:t xml:space="preserve">’s commitment to continuous improvement of services, training participants are asked to complete an evaluation form at the end of each training session. </w:t>
      </w:r>
      <w:r w:rsidR="004B1EE7" w:rsidRPr="002F3BB0">
        <w:rPr>
          <w:rFonts w:cstheme="minorHAnsi"/>
          <w:i w:val="0"/>
          <w:sz w:val="22"/>
          <w:szCs w:val="22"/>
        </w:rPr>
        <w:t xml:space="preserve">In 2013-14 the Commission </w:t>
      </w:r>
      <w:r w:rsidR="00542247">
        <w:rPr>
          <w:rFonts w:cstheme="minorHAnsi"/>
          <w:i w:val="0"/>
          <w:sz w:val="22"/>
          <w:szCs w:val="22"/>
        </w:rPr>
        <w:t>overhauled</w:t>
      </w:r>
      <w:r w:rsidR="00542247" w:rsidRPr="002F3BB0">
        <w:rPr>
          <w:rFonts w:cstheme="minorHAnsi"/>
          <w:i w:val="0"/>
          <w:sz w:val="22"/>
          <w:szCs w:val="22"/>
        </w:rPr>
        <w:t xml:space="preserve"> </w:t>
      </w:r>
      <w:r w:rsidR="004B1EE7" w:rsidRPr="002F3BB0">
        <w:rPr>
          <w:rFonts w:cstheme="minorHAnsi"/>
          <w:i w:val="0"/>
          <w:sz w:val="22"/>
          <w:szCs w:val="22"/>
        </w:rPr>
        <w:t xml:space="preserve">this evaluation to </w:t>
      </w:r>
      <w:r w:rsidR="00542247">
        <w:rPr>
          <w:rFonts w:cstheme="minorHAnsi"/>
          <w:i w:val="0"/>
          <w:sz w:val="22"/>
          <w:szCs w:val="22"/>
        </w:rPr>
        <w:t>extract</w:t>
      </w:r>
      <w:r w:rsidR="00542247" w:rsidRPr="002F3BB0">
        <w:rPr>
          <w:rFonts w:cstheme="minorHAnsi"/>
          <w:i w:val="0"/>
          <w:sz w:val="22"/>
          <w:szCs w:val="22"/>
        </w:rPr>
        <w:t xml:space="preserve"> </w:t>
      </w:r>
      <w:r w:rsidR="004B1EE7" w:rsidRPr="002F3BB0">
        <w:rPr>
          <w:rFonts w:cstheme="minorHAnsi"/>
          <w:i w:val="0"/>
          <w:sz w:val="22"/>
          <w:szCs w:val="22"/>
        </w:rPr>
        <w:t xml:space="preserve">more detailed </w:t>
      </w:r>
      <w:r w:rsidR="00542247">
        <w:rPr>
          <w:rFonts w:cstheme="minorHAnsi"/>
          <w:i w:val="0"/>
          <w:sz w:val="22"/>
          <w:szCs w:val="22"/>
        </w:rPr>
        <w:t xml:space="preserve">and useful </w:t>
      </w:r>
      <w:r w:rsidR="004B1EE7" w:rsidRPr="002F3BB0">
        <w:rPr>
          <w:rFonts w:cstheme="minorHAnsi"/>
          <w:i w:val="0"/>
          <w:sz w:val="22"/>
          <w:szCs w:val="22"/>
        </w:rPr>
        <w:t xml:space="preserve">information from participants </w:t>
      </w:r>
      <w:r w:rsidR="00542247">
        <w:rPr>
          <w:rFonts w:cstheme="minorHAnsi"/>
          <w:i w:val="0"/>
          <w:sz w:val="22"/>
          <w:szCs w:val="22"/>
        </w:rPr>
        <w:t xml:space="preserve">in order </w:t>
      </w:r>
      <w:r w:rsidR="004B1EE7" w:rsidRPr="002F3BB0">
        <w:rPr>
          <w:rFonts w:cstheme="minorHAnsi"/>
          <w:i w:val="0"/>
          <w:sz w:val="22"/>
          <w:szCs w:val="22"/>
        </w:rPr>
        <w:t>to g</w:t>
      </w:r>
      <w:r w:rsidR="00542247">
        <w:rPr>
          <w:rFonts w:cstheme="minorHAnsi"/>
          <w:i w:val="0"/>
          <w:sz w:val="22"/>
          <w:szCs w:val="22"/>
        </w:rPr>
        <w:t>et</w:t>
      </w:r>
      <w:r w:rsidR="004B1EE7" w:rsidRPr="002F3BB0">
        <w:rPr>
          <w:rFonts w:cstheme="minorHAnsi"/>
          <w:i w:val="0"/>
          <w:sz w:val="22"/>
          <w:szCs w:val="22"/>
        </w:rPr>
        <w:t xml:space="preserve"> a better understanding of the impact of </w:t>
      </w:r>
      <w:r w:rsidR="00542247">
        <w:rPr>
          <w:rFonts w:cstheme="minorHAnsi"/>
          <w:i w:val="0"/>
          <w:sz w:val="22"/>
          <w:szCs w:val="22"/>
        </w:rPr>
        <w:t xml:space="preserve">our </w:t>
      </w:r>
      <w:r w:rsidR="004B1EE7" w:rsidRPr="002F3BB0">
        <w:rPr>
          <w:rFonts w:cstheme="minorHAnsi"/>
          <w:i w:val="0"/>
          <w:sz w:val="22"/>
          <w:szCs w:val="22"/>
        </w:rPr>
        <w:t>training.</w:t>
      </w:r>
    </w:p>
    <w:p w:rsidR="004B1EE7" w:rsidRPr="002F3BB0" w:rsidRDefault="004B1EE7" w:rsidP="004F0720">
      <w:pPr>
        <w:spacing w:before="240" w:after="120" w:line="240" w:lineRule="auto"/>
        <w:rPr>
          <w:rFonts w:cstheme="minorHAnsi"/>
          <w:i w:val="0"/>
          <w:sz w:val="22"/>
          <w:szCs w:val="22"/>
        </w:rPr>
      </w:pPr>
      <w:r w:rsidRPr="002F3BB0">
        <w:rPr>
          <w:rFonts w:cstheme="minorHAnsi"/>
          <w:i w:val="0"/>
          <w:sz w:val="22"/>
          <w:szCs w:val="22"/>
        </w:rPr>
        <w:t>Previously the evaluation had asked participants to rate their training experience based on the content of the training session, the quality of information resources provided, the value of the case study discussions and the overall presentation of the session. The revised evaluation form retains these criteria, but asks for additional assessment of:</w:t>
      </w:r>
    </w:p>
    <w:p w:rsidR="004B1EE7" w:rsidRPr="004F0720" w:rsidRDefault="004B74DE" w:rsidP="004F0720">
      <w:pPr>
        <w:numPr>
          <w:ilvl w:val="0"/>
          <w:numId w:val="13"/>
        </w:numPr>
        <w:spacing w:before="120" w:after="0" w:line="240" w:lineRule="auto"/>
        <w:ind w:left="357" w:hanging="357"/>
        <w:rPr>
          <w:rFonts w:eastAsia="Times New Roman" w:cstheme="minorHAnsi"/>
          <w:i w:val="0"/>
          <w:sz w:val="22"/>
          <w:szCs w:val="22"/>
          <w:lang w:eastAsia="en-AU"/>
        </w:rPr>
      </w:pPr>
      <w:r w:rsidRPr="004F0720">
        <w:rPr>
          <w:rFonts w:eastAsia="Times New Roman" w:cstheme="minorHAnsi"/>
          <w:i w:val="0"/>
          <w:sz w:val="22"/>
          <w:szCs w:val="22"/>
          <w:lang w:eastAsia="en-AU"/>
        </w:rPr>
        <w:t>u</w:t>
      </w:r>
      <w:r w:rsidR="004B1EE7" w:rsidRPr="004F0720">
        <w:rPr>
          <w:rFonts w:eastAsia="Times New Roman" w:cstheme="minorHAnsi"/>
          <w:i w:val="0"/>
          <w:sz w:val="22"/>
          <w:szCs w:val="22"/>
          <w:lang w:eastAsia="en-AU"/>
        </w:rPr>
        <w:t>nderstanding of the course content before and after training</w:t>
      </w:r>
      <w:r w:rsidR="00D45C72" w:rsidRPr="004F0720">
        <w:rPr>
          <w:rFonts w:eastAsia="Times New Roman" w:cstheme="minorHAnsi"/>
          <w:i w:val="0"/>
          <w:sz w:val="22"/>
          <w:szCs w:val="22"/>
          <w:lang w:eastAsia="en-AU"/>
        </w:rPr>
        <w:t>;</w:t>
      </w:r>
    </w:p>
    <w:p w:rsidR="004B1EE7" w:rsidRPr="004F0720" w:rsidRDefault="004B74DE" w:rsidP="004F0720">
      <w:pPr>
        <w:numPr>
          <w:ilvl w:val="0"/>
          <w:numId w:val="13"/>
        </w:numPr>
        <w:spacing w:before="120" w:after="0" w:line="240" w:lineRule="auto"/>
        <w:ind w:left="357" w:hanging="357"/>
        <w:rPr>
          <w:rFonts w:eastAsia="Times New Roman" w:cstheme="minorHAnsi"/>
          <w:i w:val="0"/>
          <w:sz w:val="22"/>
          <w:szCs w:val="22"/>
          <w:lang w:eastAsia="en-AU"/>
        </w:rPr>
      </w:pPr>
      <w:r w:rsidRPr="004F0720">
        <w:rPr>
          <w:rFonts w:eastAsia="Times New Roman" w:cstheme="minorHAnsi"/>
          <w:i w:val="0"/>
          <w:sz w:val="22"/>
          <w:szCs w:val="22"/>
          <w:lang w:eastAsia="en-AU"/>
        </w:rPr>
        <w:t>e</w:t>
      </w:r>
      <w:r w:rsidR="004B1EE7" w:rsidRPr="004F0720">
        <w:rPr>
          <w:rFonts w:eastAsia="Times New Roman" w:cstheme="minorHAnsi"/>
          <w:i w:val="0"/>
          <w:sz w:val="22"/>
          <w:szCs w:val="22"/>
          <w:lang w:eastAsia="en-AU"/>
        </w:rPr>
        <w:t>ffectiveness of the trainer in terms of content knowledge, engagement and service delivery</w:t>
      </w:r>
      <w:r w:rsidR="00D45C72" w:rsidRPr="004F0720">
        <w:rPr>
          <w:rFonts w:eastAsia="Times New Roman" w:cstheme="minorHAnsi"/>
          <w:i w:val="0"/>
          <w:sz w:val="22"/>
          <w:szCs w:val="22"/>
          <w:lang w:eastAsia="en-AU"/>
        </w:rPr>
        <w:t>;</w:t>
      </w:r>
    </w:p>
    <w:p w:rsidR="004B1EE7" w:rsidRPr="004F0720" w:rsidRDefault="004B74DE" w:rsidP="004F0720">
      <w:pPr>
        <w:numPr>
          <w:ilvl w:val="0"/>
          <w:numId w:val="13"/>
        </w:numPr>
        <w:spacing w:before="120" w:after="0" w:line="240" w:lineRule="auto"/>
        <w:ind w:left="357" w:hanging="357"/>
        <w:rPr>
          <w:rFonts w:eastAsia="Times New Roman" w:cstheme="minorHAnsi"/>
          <w:i w:val="0"/>
          <w:sz w:val="22"/>
          <w:szCs w:val="22"/>
          <w:lang w:eastAsia="en-AU"/>
        </w:rPr>
      </w:pPr>
      <w:r w:rsidRPr="004F0720">
        <w:rPr>
          <w:rFonts w:eastAsia="Times New Roman" w:cstheme="minorHAnsi"/>
          <w:i w:val="0"/>
          <w:sz w:val="22"/>
          <w:szCs w:val="22"/>
          <w:lang w:eastAsia="en-AU"/>
        </w:rPr>
        <w:t>participant</w:t>
      </w:r>
      <w:r w:rsidR="004B1EE7" w:rsidRPr="004F0720">
        <w:rPr>
          <w:rFonts w:eastAsia="Times New Roman" w:cstheme="minorHAnsi"/>
          <w:i w:val="0"/>
          <w:sz w:val="22"/>
          <w:szCs w:val="22"/>
          <w:lang w:eastAsia="en-AU"/>
        </w:rPr>
        <w:t xml:space="preserve"> expectations and whether they were satisfied</w:t>
      </w:r>
      <w:r w:rsidR="00D45C72" w:rsidRPr="004F0720">
        <w:rPr>
          <w:rFonts w:eastAsia="Times New Roman" w:cstheme="minorHAnsi"/>
          <w:i w:val="0"/>
          <w:sz w:val="22"/>
          <w:szCs w:val="22"/>
          <w:lang w:eastAsia="en-AU"/>
        </w:rPr>
        <w:t>;</w:t>
      </w:r>
    </w:p>
    <w:p w:rsidR="004B1EE7" w:rsidRPr="004F0720" w:rsidRDefault="004B74DE" w:rsidP="004F0720">
      <w:pPr>
        <w:numPr>
          <w:ilvl w:val="0"/>
          <w:numId w:val="13"/>
        </w:numPr>
        <w:spacing w:before="120" w:after="0" w:line="240" w:lineRule="auto"/>
        <w:ind w:left="357" w:hanging="357"/>
        <w:rPr>
          <w:rFonts w:eastAsia="Times New Roman" w:cstheme="minorHAnsi"/>
          <w:i w:val="0"/>
          <w:sz w:val="22"/>
          <w:szCs w:val="22"/>
          <w:lang w:eastAsia="en-AU"/>
        </w:rPr>
      </w:pPr>
      <w:r w:rsidRPr="004F0720">
        <w:rPr>
          <w:rFonts w:eastAsia="Times New Roman" w:cstheme="minorHAnsi"/>
          <w:i w:val="0"/>
          <w:sz w:val="22"/>
          <w:szCs w:val="22"/>
          <w:lang w:eastAsia="en-AU"/>
        </w:rPr>
        <w:t>w</w:t>
      </w:r>
      <w:r w:rsidR="004B1EE7" w:rsidRPr="004F0720">
        <w:rPr>
          <w:rFonts w:eastAsia="Times New Roman" w:cstheme="minorHAnsi"/>
          <w:i w:val="0"/>
          <w:sz w:val="22"/>
          <w:szCs w:val="22"/>
          <w:lang w:eastAsia="en-AU"/>
        </w:rPr>
        <w:t>hether the training material can/will be applied in practice</w:t>
      </w:r>
      <w:r w:rsidR="00D45C72" w:rsidRPr="004F0720">
        <w:rPr>
          <w:rFonts w:eastAsia="Times New Roman" w:cstheme="minorHAnsi"/>
          <w:i w:val="0"/>
          <w:sz w:val="22"/>
          <w:szCs w:val="22"/>
          <w:lang w:eastAsia="en-AU"/>
        </w:rPr>
        <w:t>;</w:t>
      </w:r>
      <w:r w:rsidR="009C47BF" w:rsidRPr="004F0720">
        <w:rPr>
          <w:rFonts w:eastAsia="Times New Roman" w:cstheme="minorHAnsi"/>
          <w:i w:val="0"/>
          <w:sz w:val="22"/>
          <w:szCs w:val="22"/>
          <w:lang w:eastAsia="en-AU"/>
        </w:rPr>
        <w:t xml:space="preserve"> and</w:t>
      </w:r>
    </w:p>
    <w:p w:rsidR="004B1EE7" w:rsidRPr="002F3BB0" w:rsidRDefault="004B74DE" w:rsidP="004F0720">
      <w:pPr>
        <w:numPr>
          <w:ilvl w:val="0"/>
          <w:numId w:val="13"/>
        </w:numPr>
        <w:spacing w:before="120" w:after="0" w:line="240" w:lineRule="auto"/>
        <w:ind w:left="357" w:hanging="357"/>
        <w:rPr>
          <w:rFonts w:cstheme="minorHAnsi"/>
          <w:i w:val="0"/>
          <w:sz w:val="22"/>
          <w:szCs w:val="22"/>
        </w:rPr>
      </w:pPr>
      <w:proofErr w:type="gramStart"/>
      <w:r w:rsidRPr="004F0720">
        <w:rPr>
          <w:rFonts w:eastAsia="Times New Roman" w:cstheme="minorHAnsi"/>
          <w:i w:val="0"/>
          <w:sz w:val="22"/>
          <w:szCs w:val="22"/>
          <w:lang w:eastAsia="en-AU"/>
        </w:rPr>
        <w:t>h</w:t>
      </w:r>
      <w:r w:rsidR="004B1EE7" w:rsidRPr="004F0720">
        <w:rPr>
          <w:rFonts w:eastAsia="Times New Roman" w:cstheme="minorHAnsi"/>
          <w:i w:val="0"/>
          <w:sz w:val="22"/>
          <w:szCs w:val="22"/>
          <w:lang w:eastAsia="en-AU"/>
        </w:rPr>
        <w:t>ow</w:t>
      </w:r>
      <w:proofErr w:type="gramEnd"/>
      <w:r w:rsidR="004B1EE7" w:rsidRPr="004F0720">
        <w:rPr>
          <w:rFonts w:eastAsia="Times New Roman" w:cstheme="minorHAnsi"/>
          <w:i w:val="0"/>
          <w:sz w:val="22"/>
          <w:szCs w:val="22"/>
          <w:lang w:eastAsia="en-AU"/>
        </w:rPr>
        <w:t xml:space="preserve"> participant behaviour</w:t>
      </w:r>
      <w:r w:rsidR="004B1EE7" w:rsidRPr="002F3BB0">
        <w:rPr>
          <w:rFonts w:cstheme="minorHAnsi"/>
          <w:i w:val="0"/>
          <w:sz w:val="22"/>
          <w:szCs w:val="22"/>
        </w:rPr>
        <w:t xml:space="preserve"> may change as a result of training</w:t>
      </w:r>
      <w:r w:rsidR="00D45C72">
        <w:rPr>
          <w:rFonts w:cstheme="minorHAnsi"/>
          <w:i w:val="0"/>
          <w:sz w:val="22"/>
          <w:szCs w:val="22"/>
        </w:rPr>
        <w:t>.</w:t>
      </w:r>
    </w:p>
    <w:p w:rsidR="004B1EE7" w:rsidRPr="002F3BB0" w:rsidRDefault="004B74DE" w:rsidP="004F0720">
      <w:pPr>
        <w:spacing w:before="240" w:after="120" w:line="240" w:lineRule="auto"/>
        <w:rPr>
          <w:rFonts w:cstheme="minorHAnsi"/>
          <w:i w:val="0"/>
          <w:sz w:val="22"/>
          <w:szCs w:val="22"/>
        </w:rPr>
      </w:pPr>
      <w:r>
        <w:rPr>
          <w:rFonts w:cstheme="minorHAnsi"/>
          <w:i w:val="0"/>
          <w:sz w:val="22"/>
          <w:szCs w:val="22"/>
        </w:rPr>
        <w:t>O</w:t>
      </w:r>
      <w:r w:rsidR="004B1EE7" w:rsidRPr="002F3BB0">
        <w:rPr>
          <w:rFonts w:cstheme="minorHAnsi"/>
          <w:i w:val="0"/>
          <w:sz w:val="22"/>
          <w:szCs w:val="22"/>
        </w:rPr>
        <w:t xml:space="preserve">verall </w:t>
      </w:r>
      <w:r w:rsidR="009550C5" w:rsidRPr="002F3BB0">
        <w:rPr>
          <w:rFonts w:cstheme="minorHAnsi"/>
          <w:i w:val="0"/>
          <w:sz w:val="22"/>
          <w:szCs w:val="22"/>
        </w:rPr>
        <w:t xml:space="preserve">participant ratings have remained very high with an average satisfaction rating of 95%. This result was a combination of the two different evaluation </w:t>
      </w:r>
      <w:proofErr w:type="gramStart"/>
      <w:r w:rsidR="009550C5" w:rsidRPr="002F3BB0">
        <w:rPr>
          <w:rFonts w:cstheme="minorHAnsi"/>
          <w:i w:val="0"/>
          <w:sz w:val="22"/>
          <w:szCs w:val="22"/>
        </w:rPr>
        <w:t>forms,</w:t>
      </w:r>
      <w:proofErr w:type="gramEnd"/>
      <w:r w:rsidR="009550C5" w:rsidRPr="002F3BB0">
        <w:rPr>
          <w:rFonts w:cstheme="minorHAnsi"/>
          <w:i w:val="0"/>
          <w:sz w:val="22"/>
          <w:szCs w:val="22"/>
        </w:rPr>
        <w:t xml:space="preserve"> therefore the 2014-15 results will provide a more fulsome account of training under</w:t>
      </w:r>
      <w:r w:rsidR="009A4581">
        <w:rPr>
          <w:rFonts w:cstheme="minorHAnsi"/>
          <w:i w:val="0"/>
          <w:sz w:val="22"/>
          <w:szCs w:val="22"/>
        </w:rPr>
        <w:t xml:space="preserve"> the revised evaluation system.</w:t>
      </w:r>
    </w:p>
    <w:p w:rsidR="004B1EE7" w:rsidRPr="002F3BB0" w:rsidRDefault="004B1EE7" w:rsidP="00F20FE3">
      <w:pPr>
        <w:spacing w:after="120" w:line="240" w:lineRule="auto"/>
        <w:rPr>
          <w:rFonts w:cstheme="minorHAnsi"/>
          <w:i w:val="0"/>
          <w:sz w:val="22"/>
          <w:szCs w:val="22"/>
        </w:rPr>
      </w:pPr>
    </w:p>
    <w:p w:rsidR="0057766C" w:rsidRDefault="0057766C">
      <w:pPr>
        <w:rPr>
          <w:rFonts w:cstheme="minorHAnsi"/>
          <w:i w:val="0"/>
          <w:sz w:val="22"/>
          <w:szCs w:val="22"/>
        </w:rPr>
      </w:pPr>
      <w:r>
        <w:rPr>
          <w:rFonts w:cstheme="minorHAnsi"/>
          <w:i w:val="0"/>
          <w:sz w:val="22"/>
          <w:szCs w:val="22"/>
        </w:rPr>
        <w:br w:type="page"/>
      </w:r>
    </w:p>
    <w:p w:rsidR="001F2B2C" w:rsidRPr="002F3BB0" w:rsidRDefault="004B74DE" w:rsidP="00F20FE3">
      <w:pPr>
        <w:spacing w:after="120" w:line="240" w:lineRule="auto"/>
        <w:rPr>
          <w:rFonts w:cstheme="minorHAnsi"/>
          <w:i w:val="0"/>
          <w:sz w:val="22"/>
          <w:szCs w:val="22"/>
        </w:rPr>
      </w:pPr>
      <w:r>
        <w:rPr>
          <w:rFonts w:cstheme="minorHAnsi"/>
          <w:i w:val="0"/>
          <w:sz w:val="22"/>
          <w:szCs w:val="22"/>
        </w:rPr>
        <w:lastRenderedPageBreak/>
        <w:t>Here is a</w:t>
      </w:r>
      <w:r w:rsidR="001F2B2C" w:rsidRPr="002F3BB0">
        <w:rPr>
          <w:rFonts w:cstheme="minorHAnsi"/>
          <w:i w:val="0"/>
          <w:sz w:val="22"/>
          <w:szCs w:val="22"/>
        </w:rPr>
        <w:t xml:space="preserve"> sample of responses from</w:t>
      </w:r>
      <w:r w:rsidR="000F6946" w:rsidRPr="002F3BB0">
        <w:rPr>
          <w:rFonts w:cstheme="minorHAnsi"/>
          <w:i w:val="0"/>
          <w:sz w:val="22"/>
          <w:szCs w:val="22"/>
        </w:rPr>
        <w:t xml:space="preserve"> 2013-14</w:t>
      </w:r>
      <w:r w:rsidR="009A4581">
        <w:rPr>
          <w:rFonts w:cstheme="minorHAnsi"/>
          <w:i w:val="0"/>
          <w:sz w:val="22"/>
          <w:szCs w:val="22"/>
        </w:rPr>
        <w:t xml:space="preserve"> training participants: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Description w:val="Responses from training participants"/>
      </w:tblPr>
      <w:tblGrid>
        <w:gridCol w:w="9080"/>
      </w:tblGrid>
      <w:tr w:rsidR="000F6946" w:rsidRPr="002F3BB0" w:rsidTr="00E02CBF">
        <w:trPr>
          <w:tblCellSpacing w:w="20" w:type="dxa"/>
          <w:jc w:val="center"/>
        </w:trPr>
        <w:tc>
          <w:tcPr>
            <w:tcW w:w="9000" w:type="dxa"/>
            <w:shd w:val="clear" w:color="auto" w:fill="BFBFBF" w:themeFill="background1" w:themeFillShade="BF"/>
            <w:vAlign w:val="center"/>
          </w:tcPr>
          <w:p w:rsidR="000F6946" w:rsidRPr="002F3BB0" w:rsidRDefault="000F6946" w:rsidP="009550C5">
            <w:pPr>
              <w:rPr>
                <w:rFonts w:eastAsia="Times New Roman" w:cstheme="minorHAnsi"/>
                <w:b/>
                <w:i w:val="0"/>
                <w:color w:val="FF0000"/>
                <w:sz w:val="22"/>
                <w:szCs w:val="22"/>
                <w:lang w:eastAsia="en-AU"/>
              </w:rPr>
            </w:pPr>
            <w:r w:rsidRPr="002F3BB0">
              <w:rPr>
                <w:rFonts w:ascii="Arial" w:hAnsi="Arial"/>
                <w:b/>
                <w:i w:val="0"/>
                <w:sz w:val="22"/>
                <w:lang w:val="en-GB"/>
              </w:rPr>
              <w:t>Do you think some aspect of your behaviour might change as a result of this training? If yes, how?</w:t>
            </w:r>
          </w:p>
        </w:tc>
      </w:tr>
      <w:tr w:rsidR="000F6946" w:rsidRPr="002F3BB0" w:rsidTr="00E02CBF">
        <w:trPr>
          <w:tblCellSpacing w:w="20" w:type="dxa"/>
          <w:jc w:val="center"/>
        </w:trPr>
        <w:tc>
          <w:tcPr>
            <w:tcW w:w="9000" w:type="dxa"/>
            <w:shd w:val="clear" w:color="auto" w:fill="auto"/>
          </w:tcPr>
          <w:p w:rsidR="000F6946" w:rsidRPr="002F3BB0" w:rsidRDefault="000F6946" w:rsidP="009550C5">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I feel more confident with the complaint process in future</w:t>
            </w:r>
            <w:r w:rsidR="004B74DE">
              <w:rPr>
                <w:rFonts w:eastAsia="Times New Roman" w:cstheme="minorHAnsi"/>
                <w:i w:val="0"/>
                <w:sz w:val="22"/>
                <w:szCs w:val="22"/>
                <w:lang w:eastAsia="en-AU"/>
              </w:rPr>
              <w:t>.</w:t>
            </w:r>
          </w:p>
        </w:tc>
      </w:tr>
      <w:tr w:rsidR="000F6946" w:rsidRPr="002F3BB0" w:rsidTr="00E02CBF">
        <w:trPr>
          <w:tblCellSpacing w:w="20" w:type="dxa"/>
          <w:jc w:val="center"/>
        </w:trPr>
        <w:tc>
          <w:tcPr>
            <w:tcW w:w="9000" w:type="dxa"/>
            <w:shd w:val="clear" w:color="auto" w:fill="auto"/>
          </w:tcPr>
          <w:p w:rsidR="000F6946" w:rsidRPr="002F3BB0" w:rsidRDefault="000228C3" w:rsidP="009550C5">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Timelier</w:t>
            </w:r>
            <w:r w:rsidR="000F6946" w:rsidRPr="002F3BB0">
              <w:rPr>
                <w:rFonts w:eastAsia="Times New Roman" w:cstheme="minorHAnsi"/>
                <w:i w:val="0"/>
                <w:sz w:val="22"/>
                <w:szCs w:val="22"/>
                <w:lang w:eastAsia="en-AU"/>
              </w:rPr>
              <w:t xml:space="preserve"> addressing of issues. More attentive to small signs. </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9550C5">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Act on complaints immediately</w:t>
            </w:r>
          </w:p>
        </w:tc>
      </w:tr>
      <w:tr w:rsidR="000F6946" w:rsidRPr="002F3BB0" w:rsidTr="00E02CBF">
        <w:trPr>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More active role in training staff</w:t>
            </w:r>
          </w:p>
        </w:tc>
      </w:tr>
      <w:tr w:rsidR="000F6946" w:rsidRPr="002F3BB0" w:rsidTr="00E02CBF">
        <w:trPr>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I will think before I speak or act. I will use what I’ve learnt throughout the workplace</w:t>
            </w:r>
            <w:r w:rsidR="0036644B">
              <w:rPr>
                <w:rFonts w:eastAsia="Times New Roman" w:cstheme="minorHAnsi"/>
                <w:i w:val="0"/>
                <w:sz w:val="22"/>
                <w:szCs w:val="22"/>
                <w:lang w:eastAsia="en-AU"/>
              </w:rPr>
              <w:t>.</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Interviewing prospective employees – be more careful with the questions I ask</w:t>
            </w:r>
          </w:p>
        </w:tc>
      </w:tr>
      <w:tr w:rsidR="000F6946" w:rsidRPr="002F3BB0" w:rsidTr="00E02CBF">
        <w:trPr>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Assume more responsibility for implementing workplace policy</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Being careful and more respectful about how I talk and approach others</w:t>
            </w:r>
          </w:p>
        </w:tc>
      </w:tr>
      <w:tr w:rsidR="000F6946" w:rsidRPr="002F3BB0" w:rsidTr="00E02CBF">
        <w:trPr>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I expect I’ll be more vigilant of the actions of others in my capacity as a manager</w:t>
            </w:r>
            <w:r w:rsidR="0036644B">
              <w:rPr>
                <w:rFonts w:eastAsia="Times New Roman" w:cstheme="minorHAnsi"/>
                <w:i w:val="0"/>
                <w:sz w:val="22"/>
                <w:szCs w:val="22"/>
                <w:lang w:eastAsia="en-AU"/>
              </w:rPr>
              <w:t>.</w:t>
            </w:r>
          </w:p>
        </w:tc>
      </w:tr>
      <w:tr w:rsidR="000F6946" w:rsidRPr="002F3BB0" w:rsidTr="00E02CBF">
        <w:trPr>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Greater awareness of responsibility towards my staff</w:t>
            </w:r>
          </w:p>
        </w:tc>
      </w:tr>
      <w:tr w:rsidR="000F6946" w:rsidRPr="002F3BB0" w:rsidTr="00E02CBF">
        <w:trPr>
          <w:trHeight w:val="268"/>
          <w:tblCellSpacing w:w="20" w:type="dxa"/>
          <w:jc w:val="center"/>
        </w:trPr>
        <w:tc>
          <w:tcPr>
            <w:tcW w:w="9000" w:type="dxa"/>
            <w:shd w:val="pct25" w:color="auto" w:fill="auto"/>
          </w:tcPr>
          <w:p w:rsidR="000F6946" w:rsidRPr="002F3BB0" w:rsidRDefault="000F6946" w:rsidP="0057766C">
            <w:pPr>
              <w:spacing w:before="40" w:after="40" w:line="240" w:lineRule="auto"/>
              <w:rPr>
                <w:rFonts w:eastAsia="Times New Roman" w:cstheme="minorHAnsi"/>
                <w:b/>
                <w:i w:val="0"/>
                <w:sz w:val="22"/>
                <w:szCs w:val="22"/>
                <w:lang w:eastAsia="en-AU"/>
              </w:rPr>
            </w:pPr>
            <w:r w:rsidRPr="002F3BB0">
              <w:rPr>
                <w:rFonts w:eastAsia="Times New Roman" w:cstheme="minorHAnsi"/>
                <w:b/>
                <w:i w:val="0"/>
                <w:sz w:val="22"/>
                <w:szCs w:val="22"/>
                <w:lang w:eastAsia="en-AU"/>
              </w:rPr>
              <w:t>What did you like most about this training?</w:t>
            </w:r>
          </w:p>
        </w:tc>
      </w:tr>
      <w:tr w:rsidR="000F6946" w:rsidRPr="002F3BB0" w:rsidTr="00E02CBF">
        <w:trPr>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Knowledge of the trainer</w:t>
            </w:r>
          </w:p>
        </w:tc>
      </w:tr>
      <w:tr w:rsidR="000F6946" w:rsidRPr="002F3BB0" w:rsidTr="00E02CBF">
        <w:trPr>
          <w:tblCellSpacing w:w="20" w:type="dxa"/>
          <w:jc w:val="center"/>
        </w:trPr>
        <w:tc>
          <w:tcPr>
            <w:tcW w:w="9000" w:type="dxa"/>
            <w:shd w:val="clear" w:color="auto" w:fill="auto"/>
          </w:tcPr>
          <w:p w:rsidR="000F6946" w:rsidRPr="002F3BB0" w:rsidRDefault="000F6946" w:rsidP="000F6946">
            <w:pPr>
              <w:tabs>
                <w:tab w:val="left" w:pos="1440"/>
              </w:tabs>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Relevance to workplace and work responsibilities</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It was informative, engaging and interesting. It wasn’t hard to understand and well explained.</w:t>
            </w:r>
          </w:p>
        </w:tc>
      </w:tr>
      <w:tr w:rsidR="000F6946" w:rsidRPr="002F3BB0" w:rsidTr="00E02CBF">
        <w:trPr>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Explained fully and delivered with great knowledge</w:t>
            </w:r>
          </w:p>
        </w:tc>
      </w:tr>
      <w:tr w:rsidR="000F6946" w:rsidRPr="002F3BB0" w:rsidTr="00E02CBF">
        <w:trPr>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Very enjoyable and made fully aware of what can happen on both sides</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Interesting content, case reviews, discussions and videos</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Practical application</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Excellent feedback and suggestions on our policies and procedures that will be used to improve our practices</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As an experienced professional I appreciated the fact that I learned lots of new stuff that will be of great practical use</w:t>
            </w:r>
            <w:r w:rsidR="0036644B">
              <w:rPr>
                <w:rFonts w:eastAsia="Times New Roman" w:cstheme="minorHAnsi"/>
                <w:i w:val="0"/>
                <w:sz w:val="22"/>
                <w:szCs w:val="22"/>
                <w:lang w:eastAsia="en-AU"/>
              </w:rPr>
              <w:t>.</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Excellent, relevant, practical and well presented</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Was really interesting and the best content I’ve seen so far….</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This was excellent training. I have studied this at a tertiary level as a degree requirement – this was a very good refresher. The participant workbook is very good</w:t>
            </w:r>
            <w:r w:rsidR="0036644B">
              <w:rPr>
                <w:rFonts w:eastAsia="Times New Roman" w:cstheme="minorHAnsi"/>
                <w:i w:val="0"/>
                <w:sz w:val="22"/>
                <w:szCs w:val="22"/>
                <w:lang w:eastAsia="en-AU"/>
              </w:rPr>
              <w:t>.</w:t>
            </w:r>
          </w:p>
        </w:tc>
      </w:tr>
      <w:tr w:rsidR="000F6946" w:rsidRPr="002F3BB0" w:rsidTr="00E02CBF">
        <w:trPr>
          <w:trHeight w:val="268"/>
          <w:tblCellSpacing w:w="20" w:type="dxa"/>
          <w:jc w:val="center"/>
        </w:trPr>
        <w:tc>
          <w:tcPr>
            <w:tcW w:w="9000" w:type="dxa"/>
            <w:shd w:val="clear" w:color="auto" w:fill="auto"/>
          </w:tcPr>
          <w:p w:rsidR="000F6946" w:rsidRPr="002F3BB0" w:rsidRDefault="000228C3"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Highlighted</w:t>
            </w:r>
            <w:r w:rsidR="000F6946" w:rsidRPr="002F3BB0">
              <w:rPr>
                <w:rFonts w:eastAsia="Times New Roman" w:cstheme="minorHAnsi"/>
                <w:i w:val="0"/>
                <w:sz w:val="22"/>
                <w:szCs w:val="22"/>
                <w:lang w:eastAsia="en-AU"/>
              </w:rPr>
              <w:t xml:space="preserve"> how much I did not know about the laws of discrimination</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A non-exciting topic covered very well</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All areas were covered and with the references in the workbook further research is made easier</w:t>
            </w:r>
            <w:r w:rsidR="0036644B">
              <w:rPr>
                <w:rFonts w:eastAsia="Times New Roman" w:cstheme="minorHAnsi"/>
                <w:i w:val="0"/>
                <w:sz w:val="22"/>
                <w:szCs w:val="22"/>
                <w:lang w:eastAsia="en-AU"/>
              </w:rPr>
              <w:t>.</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Useful, interesting material which I will be able to use within my role</w:t>
            </w:r>
          </w:p>
        </w:tc>
      </w:tr>
      <w:tr w:rsidR="000F6946" w:rsidRPr="002F3BB0" w:rsidTr="00E02CBF">
        <w:trPr>
          <w:trHeight w:val="268"/>
          <w:tblCellSpacing w:w="20" w:type="dxa"/>
          <w:jc w:val="center"/>
        </w:trPr>
        <w:tc>
          <w:tcPr>
            <w:tcW w:w="9000" w:type="dxa"/>
            <w:shd w:val="clear" w:color="auto" w:fill="auto"/>
          </w:tcPr>
          <w:p w:rsidR="000F6946" w:rsidRPr="002F3BB0" w:rsidRDefault="000F6946" w:rsidP="0057766C">
            <w:pPr>
              <w:spacing w:before="40" w:after="4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Very happy with materials</w:t>
            </w:r>
          </w:p>
        </w:tc>
      </w:tr>
    </w:tbl>
    <w:p w:rsidR="006C592A" w:rsidRDefault="006C592A" w:rsidP="00F20FE3">
      <w:pPr>
        <w:spacing w:after="120" w:line="240" w:lineRule="auto"/>
        <w:rPr>
          <w:rFonts w:cstheme="minorHAnsi"/>
          <w:i w:val="0"/>
          <w:sz w:val="22"/>
          <w:szCs w:val="22"/>
        </w:rPr>
      </w:pPr>
    </w:p>
    <w:p w:rsidR="006C592A" w:rsidRPr="002A0F92" w:rsidRDefault="006C592A" w:rsidP="00F20FE3">
      <w:pPr>
        <w:spacing w:after="120" w:line="240" w:lineRule="auto"/>
        <w:rPr>
          <w:rFonts w:cstheme="minorHAnsi"/>
          <w:i w:val="0"/>
          <w:sz w:val="22"/>
          <w:szCs w:val="22"/>
        </w:rPr>
      </w:pPr>
    </w:p>
    <w:p w:rsidR="008B2125" w:rsidRPr="008A01AF" w:rsidRDefault="001F2B2C" w:rsidP="00B81ECD">
      <w:pPr>
        <w:pStyle w:val="Heading1"/>
        <w:pageBreakBefore/>
        <w:rPr>
          <w:rFonts w:asciiTheme="minorHAnsi" w:eastAsia="Times New Roman" w:hAnsiTheme="minorHAnsi" w:cstheme="minorHAnsi"/>
          <w:i w:val="0"/>
          <w:color w:val="auto"/>
          <w:spacing w:val="22"/>
          <w:highlight w:val="green"/>
          <w:lang w:eastAsia="en-AU"/>
        </w:rPr>
      </w:pPr>
      <w:r w:rsidRPr="002A0F92">
        <w:rPr>
          <w:rFonts w:asciiTheme="minorHAnsi" w:hAnsiTheme="minorHAnsi" w:cstheme="minorHAnsi"/>
          <w:color w:val="auto"/>
        </w:rPr>
        <w:lastRenderedPageBreak/>
        <w:t xml:space="preserve"> </w:t>
      </w:r>
      <w:bookmarkStart w:id="19" w:name="_Toc366487302"/>
      <w:bookmarkStart w:id="20" w:name="_Toc397345680"/>
      <w:r w:rsidR="008B2125" w:rsidRPr="009645D4">
        <w:rPr>
          <w:rFonts w:asciiTheme="minorHAnsi" w:eastAsia="Times New Roman" w:hAnsiTheme="minorHAnsi" w:cstheme="minorHAnsi"/>
          <w:i w:val="0"/>
          <w:color w:val="auto"/>
          <w:spacing w:val="22"/>
          <w:lang w:eastAsia="en-AU"/>
        </w:rPr>
        <w:t>Aboriginal and Torres Strait Islander unit</w:t>
      </w:r>
      <w:bookmarkEnd w:id="19"/>
      <w:bookmarkEnd w:id="20"/>
    </w:p>
    <w:p w:rsidR="003E64E9" w:rsidRPr="0057766C" w:rsidRDefault="003E64E9" w:rsidP="00F20FE3">
      <w:pPr>
        <w:autoSpaceDE w:val="0"/>
        <w:autoSpaceDN w:val="0"/>
        <w:adjustRightInd w:val="0"/>
        <w:spacing w:after="120" w:line="240" w:lineRule="auto"/>
        <w:rPr>
          <w:rFonts w:cstheme="minorHAnsi"/>
          <w:i w:val="0"/>
          <w:color w:val="000000"/>
          <w:sz w:val="22"/>
          <w:szCs w:val="22"/>
        </w:rPr>
      </w:pPr>
      <w:r w:rsidRPr="0057766C">
        <w:rPr>
          <w:rFonts w:cstheme="minorHAnsi"/>
          <w:i w:val="0"/>
          <w:color w:val="000000"/>
          <w:sz w:val="22"/>
          <w:szCs w:val="22"/>
        </w:rPr>
        <w:t xml:space="preserve">The Aboriginal and Torres Strait Islander Unit was formally established and launched in November 2003 to meet the demand for Indigenous specific services to the community. The </w:t>
      </w:r>
      <w:r w:rsidR="00DA1438" w:rsidRPr="0057766C">
        <w:rPr>
          <w:rFonts w:cstheme="minorHAnsi"/>
          <w:i w:val="0"/>
          <w:color w:val="000000"/>
          <w:sz w:val="22"/>
          <w:szCs w:val="22"/>
        </w:rPr>
        <w:t>u</w:t>
      </w:r>
      <w:r w:rsidRPr="0057766C">
        <w:rPr>
          <w:rFonts w:cstheme="minorHAnsi"/>
          <w:i w:val="0"/>
          <w:color w:val="000000"/>
          <w:sz w:val="22"/>
          <w:szCs w:val="22"/>
        </w:rPr>
        <w:t xml:space="preserve">nit is based in the Brisbane office and is </w:t>
      </w:r>
      <w:r w:rsidR="0025037E">
        <w:rPr>
          <w:rFonts w:cstheme="minorHAnsi"/>
          <w:i w:val="0"/>
          <w:color w:val="000000"/>
          <w:sz w:val="22"/>
          <w:szCs w:val="22"/>
        </w:rPr>
        <w:t>staffed by</w:t>
      </w:r>
      <w:r w:rsidRPr="0057766C">
        <w:rPr>
          <w:rFonts w:cstheme="minorHAnsi"/>
          <w:i w:val="0"/>
          <w:color w:val="000000"/>
          <w:sz w:val="22"/>
          <w:szCs w:val="22"/>
        </w:rPr>
        <w:t xml:space="preserve"> a Coordinator and Indigenous Human Rights Assistant. An Indigenous Human Rights Assistant is also based in the Cairns office and receives ongoing professional and cultural support from the Unit Coordinator.</w:t>
      </w:r>
    </w:p>
    <w:p w:rsidR="00022DC2" w:rsidRDefault="003E64E9" w:rsidP="00A5281C">
      <w:pPr>
        <w:spacing w:before="240" w:after="120" w:line="240" w:lineRule="auto"/>
        <w:rPr>
          <w:rFonts w:cstheme="minorHAnsi"/>
          <w:i w:val="0"/>
          <w:color w:val="000000"/>
          <w:sz w:val="22"/>
          <w:szCs w:val="22"/>
        </w:rPr>
      </w:pPr>
      <w:r w:rsidRPr="0057766C">
        <w:rPr>
          <w:rFonts w:cstheme="minorHAnsi"/>
          <w:i w:val="0"/>
          <w:color w:val="000000"/>
          <w:sz w:val="22"/>
          <w:szCs w:val="22"/>
        </w:rPr>
        <w:t>The unit has a strong community focus and provide</w:t>
      </w:r>
      <w:r w:rsidR="0025037E">
        <w:rPr>
          <w:rFonts w:cstheme="minorHAnsi"/>
          <w:i w:val="0"/>
          <w:color w:val="000000"/>
          <w:sz w:val="22"/>
          <w:szCs w:val="22"/>
        </w:rPr>
        <w:t>s</w:t>
      </w:r>
      <w:r w:rsidRPr="0057766C">
        <w:rPr>
          <w:rFonts w:cstheme="minorHAnsi"/>
          <w:i w:val="0"/>
          <w:color w:val="000000"/>
          <w:sz w:val="22"/>
          <w:szCs w:val="22"/>
        </w:rPr>
        <w:t xml:space="preserve"> services including training, information</w:t>
      </w:r>
      <w:r w:rsidR="00765EA1" w:rsidRPr="0057766C">
        <w:rPr>
          <w:rFonts w:cstheme="minorHAnsi"/>
          <w:i w:val="0"/>
          <w:color w:val="000000"/>
          <w:sz w:val="22"/>
          <w:szCs w:val="22"/>
        </w:rPr>
        <w:t xml:space="preserve"> and</w:t>
      </w:r>
      <w:r w:rsidRPr="0057766C">
        <w:rPr>
          <w:rFonts w:cstheme="minorHAnsi"/>
          <w:i w:val="0"/>
          <w:color w:val="000000"/>
          <w:sz w:val="22"/>
          <w:szCs w:val="22"/>
        </w:rPr>
        <w:t xml:space="preserve"> policy advices</w:t>
      </w:r>
      <w:r w:rsidR="00765EA1" w:rsidRPr="0057766C">
        <w:rPr>
          <w:rFonts w:cstheme="minorHAnsi"/>
          <w:i w:val="0"/>
          <w:color w:val="000000"/>
          <w:sz w:val="22"/>
          <w:szCs w:val="22"/>
        </w:rPr>
        <w:t xml:space="preserve"> to members of the Aboriginal and Torres Strait Islander community</w:t>
      </w:r>
      <w:r w:rsidRPr="0057766C">
        <w:rPr>
          <w:rFonts w:cstheme="minorHAnsi"/>
          <w:i w:val="0"/>
          <w:color w:val="000000"/>
          <w:sz w:val="22"/>
          <w:szCs w:val="22"/>
        </w:rPr>
        <w:t>.</w:t>
      </w:r>
      <w:r w:rsidR="00765EA1" w:rsidRPr="0057766C">
        <w:rPr>
          <w:rFonts w:cstheme="minorHAnsi"/>
          <w:i w:val="0"/>
          <w:color w:val="000000"/>
          <w:sz w:val="22"/>
          <w:szCs w:val="22"/>
        </w:rPr>
        <w:t xml:space="preserve"> The unit also contributes to legal submissions, provides guidance on cultural protocols and advises the Commissioner in relation to human rights issues impacting on Queensland Indigenous communities. </w:t>
      </w:r>
    </w:p>
    <w:p w:rsidR="002B29D0" w:rsidRDefault="002B29D0" w:rsidP="00A5281C">
      <w:pPr>
        <w:spacing w:before="240" w:after="120" w:line="240" w:lineRule="auto"/>
        <w:rPr>
          <w:rFonts w:cstheme="minorHAnsi"/>
          <w:i w:val="0"/>
          <w:color w:val="000000"/>
          <w:sz w:val="22"/>
          <w:szCs w:val="22"/>
        </w:rPr>
      </w:pPr>
      <w:r w:rsidRPr="002B29D0">
        <w:rPr>
          <w:rFonts w:cstheme="minorHAnsi"/>
          <w:i w:val="0"/>
          <w:color w:val="000000"/>
          <w:sz w:val="22"/>
          <w:szCs w:val="22"/>
        </w:rPr>
        <w:t>Priorities of the Aboriginal and Torre</w:t>
      </w:r>
      <w:r w:rsidR="009A4581">
        <w:rPr>
          <w:rFonts w:cstheme="minorHAnsi"/>
          <w:i w:val="0"/>
          <w:color w:val="000000"/>
          <w:sz w:val="22"/>
          <w:szCs w:val="22"/>
        </w:rPr>
        <w:t>s Strait Islander Unit include:</w:t>
      </w:r>
    </w:p>
    <w:p w:rsidR="009F3B34" w:rsidRPr="009F3B34" w:rsidRDefault="0025037E" w:rsidP="009F3B34">
      <w:pPr>
        <w:numPr>
          <w:ilvl w:val="0"/>
          <w:numId w:val="13"/>
        </w:numPr>
        <w:spacing w:before="120" w:after="0" w:line="240" w:lineRule="auto"/>
        <w:ind w:left="357" w:hanging="357"/>
        <w:rPr>
          <w:rFonts w:eastAsia="Times New Roman" w:cstheme="minorHAnsi"/>
          <w:i w:val="0"/>
          <w:sz w:val="22"/>
          <w:szCs w:val="22"/>
          <w:lang w:eastAsia="en-AU"/>
        </w:rPr>
      </w:pPr>
      <w:r w:rsidRPr="009F3B34">
        <w:rPr>
          <w:rFonts w:eastAsia="Times New Roman" w:cstheme="minorHAnsi"/>
          <w:i w:val="0"/>
          <w:sz w:val="22"/>
          <w:szCs w:val="22"/>
          <w:lang w:eastAsia="en-AU"/>
        </w:rPr>
        <w:t>c</w:t>
      </w:r>
      <w:r w:rsidR="002B29D0" w:rsidRPr="009F3B34">
        <w:rPr>
          <w:rFonts w:eastAsia="Times New Roman" w:cstheme="minorHAnsi"/>
          <w:i w:val="0"/>
          <w:sz w:val="22"/>
          <w:szCs w:val="22"/>
          <w:lang w:eastAsia="en-AU"/>
        </w:rPr>
        <w:t>oordinating the development, implementation and review of the ADCQ Reconciliation Action Plan;</w:t>
      </w:r>
    </w:p>
    <w:p w:rsidR="002B29D0" w:rsidRPr="009F3B34" w:rsidRDefault="0025037E" w:rsidP="009F3B34">
      <w:pPr>
        <w:numPr>
          <w:ilvl w:val="0"/>
          <w:numId w:val="13"/>
        </w:numPr>
        <w:spacing w:before="120" w:after="0" w:line="240" w:lineRule="auto"/>
        <w:ind w:left="357" w:hanging="357"/>
        <w:rPr>
          <w:rFonts w:eastAsia="Times New Roman" w:cstheme="minorHAnsi"/>
          <w:i w:val="0"/>
          <w:sz w:val="22"/>
          <w:szCs w:val="22"/>
          <w:lang w:eastAsia="en-AU"/>
        </w:rPr>
      </w:pPr>
      <w:r w:rsidRPr="009F3B34">
        <w:rPr>
          <w:rFonts w:eastAsia="Times New Roman" w:cstheme="minorHAnsi"/>
          <w:i w:val="0"/>
          <w:sz w:val="22"/>
          <w:szCs w:val="22"/>
          <w:lang w:eastAsia="en-AU"/>
        </w:rPr>
        <w:t>d</w:t>
      </w:r>
      <w:r w:rsidR="002B29D0" w:rsidRPr="009F3B34">
        <w:rPr>
          <w:rFonts w:eastAsia="Times New Roman" w:cstheme="minorHAnsi"/>
          <w:i w:val="0"/>
          <w:sz w:val="22"/>
          <w:szCs w:val="22"/>
          <w:lang w:eastAsia="en-AU"/>
        </w:rPr>
        <w:t xml:space="preserve">elivering </w:t>
      </w:r>
      <w:r w:rsidR="002B29D0" w:rsidRPr="009F3B34">
        <w:rPr>
          <w:rFonts w:eastAsia="Times New Roman" w:cstheme="minorHAnsi"/>
          <w:sz w:val="22"/>
          <w:szCs w:val="22"/>
          <w:lang w:eastAsia="en-AU"/>
        </w:rPr>
        <w:t>Tracking Your Rights</w:t>
      </w:r>
      <w:r w:rsidR="002B29D0" w:rsidRPr="009F3B34">
        <w:rPr>
          <w:rFonts w:eastAsia="Times New Roman" w:cstheme="minorHAnsi"/>
          <w:i w:val="0"/>
          <w:sz w:val="22"/>
          <w:szCs w:val="22"/>
          <w:lang w:eastAsia="en-AU"/>
        </w:rPr>
        <w:t xml:space="preserve"> training to Indigenous organisations and communities;</w:t>
      </w:r>
    </w:p>
    <w:p w:rsidR="002B29D0" w:rsidRPr="009F3B34" w:rsidRDefault="0025037E" w:rsidP="009F3B34">
      <w:pPr>
        <w:numPr>
          <w:ilvl w:val="0"/>
          <w:numId w:val="13"/>
        </w:numPr>
        <w:spacing w:before="120" w:after="0" w:line="240" w:lineRule="auto"/>
        <w:ind w:left="357" w:hanging="357"/>
        <w:rPr>
          <w:rFonts w:eastAsia="Times New Roman" w:cstheme="minorHAnsi"/>
          <w:i w:val="0"/>
          <w:sz w:val="22"/>
          <w:szCs w:val="22"/>
          <w:lang w:eastAsia="en-AU"/>
        </w:rPr>
      </w:pPr>
      <w:r w:rsidRPr="009F3B34">
        <w:rPr>
          <w:rFonts w:eastAsia="Times New Roman" w:cstheme="minorHAnsi"/>
          <w:i w:val="0"/>
          <w:sz w:val="22"/>
          <w:szCs w:val="22"/>
          <w:lang w:eastAsia="en-AU"/>
        </w:rPr>
        <w:t>v</w:t>
      </w:r>
      <w:r w:rsidR="002B29D0" w:rsidRPr="009F3B34">
        <w:rPr>
          <w:rFonts w:eastAsia="Times New Roman" w:cstheme="minorHAnsi"/>
          <w:i w:val="0"/>
          <w:sz w:val="22"/>
          <w:szCs w:val="22"/>
          <w:lang w:eastAsia="en-AU"/>
        </w:rPr>
        <w:t xml:space="preserve">isiting a range of Indigenous organisations throughout Queensland to provide information on the ADCQ and the </w:t>
      </w:r>
      <w:r w:rsidR="002B29D0" w:rsidRPr="009F3B34">
        <w:rPr>
          <w:rFonts w:eastAsia="Times New Roman" w:cstheme="minorHAnsi"/>
          <w:sz w:val="22"/>
          <w:szCs w:val="22"/>
          <w:lang w:eastAsia="en-AU"/>
        </w:rPr>
        <w:t>Anti-Discrimination Act 1991</w:t>
      </w:r>
      <w:r w:rsidR="002B29D0" w:rsidRPr="009F3B34">
        <w:rPr>
          <w:rFonts w:eastAsia="Times New Roman" w:cstheme="minorHAnsi"/>
          <w:i w:val="0"/>
          <w:sz w:val="22"/>
          <w:szCs w:val="22"/>
          <w:lang w:eastAsia="en-AU"/>
        </w:rPr>
        <w:t>;</w:t>
      </w:r>
    </w:p>
    <w:p w:rsidR="002B29D0" w:rsidRPr="009F3B34" w:rsidRDefault="0025037E" w:rsidP="009F3B34">
      <w:pPr>
        <w:numPr>
          <w:ilvl w:val="0"/>
          <w:numId w:val="13"/>
        </w:numPr>
        <w:spacing w:before="120" w:after="0" w:line="240" w:lineRule="auto"/>
        <w:ind w:left="357" w:hanging="357"/>
        <w:rPr>
          <w:rFonts w:eastAsia="Times New Roman" w:cstheme="minorHAnsi"/>
          <w:i w:val="0"/>
          <w:sz w:val="22"/>
          <w:szCs w:val="22"/>
          <w:lang w:eastAsia="en-AU"/>
        </w:rPr>
      </w:pPr>
      <w:r w:rsidRPr="009F3B34">
        <w:rPr>
          <w:rFonts w:eastAsia="Times New Roman" w:cstheme="minorHAnsi"/>
          <w:i w:val="0"/>
          <w:sz w:val="22"/>
          <w:szCs w:val="22"/>
          <w:lang w:eastAsia="en-AU"/>
        </w:rPr>
        <w:t>b</w:t>
      </w:r>
      <w:r w:rsidR="002B29D0" w:rsidRPr="009F3B34">
        <w:rPr>
          <w:rFonts w:eastAsia="Times New Roman" w:cstheme="minorHAnsi"/>
          <w:i w:val="0"/>
          <w:sz w:val="22"/>
          <w:szCs w:val="22"/>
          <w:lang w:eastAsia="en-AU"/>
        </w:rPr>
        <w:t>uilding community confidence in the ADCQ complaint management and conciliation processes;</w:t>
      </w:r>
    </w:p>
    <w:p w:rsidR="002B29D0" w:rsidRPr="009F3B34" w:rsidRDefault="009C47BF" w:rsidP="009F3B34">
      <w:pPr>
        <w:numPr>
          <w:ilvl w:val="0"/>
          <w:numId w:val="13"/>
        </w:numPr>
        <w:spacing w:before="120" w:after="0" w:line="240" w:lineRule="auto"/>
        <w:ind w:left="357" w:hanging="357"/>
        <w:rPr>
          <w:rFonts w:eastAsia="Times New Roman" w:cstheme="minorHAnsi"/>
          <w:i w:val="0"/>
          <w:sz w:val="22"/>
          <w:szCs w:val="22"/>
          <w:lang w:eastAsia="en-AU"/>
        </w:rPr>
      </w:pPr>
      <w:r w:rsidRPr="009F3B34">
        <w:rPr>
          <w:rFonts w:eastAsia="Times New Roman" w:cstheme="minorHAnsi"/>
          <w:i w:val="0"/>
          <w:sz w:val="22"/>
          <w:szCs w:val="22"/>
          <w:lang w:eastAsia="en-AU"/>
        </w:rPr>
        <w:t>p</w:t>
      </w:r>
      <w:r w:rsidR="002B29D0" w:rsidRPr="009F3B34">
        <w:rPr>
          <w:rFonts w:eastAsia="Times New Roman" w:cstheme="minorHAnsi"/>
          <w:i w:val="0"/>
          <w:sz w:val="22"/>
          <w:szCs w:val="22"/>
          <w:lang w:eastAsia="en-AU"/>
        </w:rPr>
        <w:t>artnering with Indigenous organisations to address local and systemic discrimination;</w:t>
      </w:r>
      <w:r w:rsidRPr="009F3B34">
        <w:rPr>
          <w:rFonts w:eastAsia="Times New Roman" w:cstheme="minorHAnsi"/>
          <w:i w:val="0"/>
          <w:sz w:val="22"/>
          <w:szCs w:val="22"/>
          <w:lang w:eastAsia="en-AU"/>
        </w:rPr>
        <w:t xml:space="preserve"> and</w:t>
      </w:r>
    </w:p>
    <w:p w:rsidR="002B29D0" w:rsidRPr="009F3B34" w:rsidRDefault="009C47BF" w:rsidP="009F3B34">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9F3B34">
        <w:rPr>
          <w:rFonts w:eastAsia="Times New Roman" w:cstheme="minorHAnsi"/>
          <w:i w:val="0"/>
          <w:sz w:val="22"/>
          <w:szCs w:val="22"/>
          <w:lang w:eastAsia="en-AU"/>
        </w:rPr>
        <w:t>p</w:t>
      </w:r>
      <w:r w:rsidR="002B29D0" w:rsidRPr="009F3B34">
        <w:rPr>
          <w:rFonts w:eastAsia="Times New Roman" w:cstheme="minorHAnsi"/>
          <w:i w:val="0"/>
          <w:sz w:val="22"/>
          <w:szCs w:val="22"/>
          <w:lang w:eastAsia="en-AU"/>
        </w:rPr>
        <w:t>articipating</w:t>
      </w:r>
      <w:proofErr w:type="gramEnd"/>
      <w:r w:rsidR="002B29D0" w:rsidRPr="009F3B34">
        <w:rPr>
          <w:rFonts w:eastAsia="Times New Roman" w:cstheme="minorHAnsi"/>
          <w:i w:val="0"/>
          <w:sz w:val="22"/>
          <w:szCs w:val="22"/>
          <w:lang w:eastAsia="en-AU"/>
        </w:rPr>
        <w:t xml:space="preserve"> in community events that celebrate significant milestones in Aboriginal and Torres Strait Islander history</w:t>
      </w:r>
      <w:r w:rsidRPr="009F3B34">
        <w:rPr>
          <w:rFonts w:eastAsia="Times New Roman" w:cstheme="minorHAnsi"/>
          <w:i w:val="0"/>
          <w:sz w:val="22"/>
          <w:szCs w:val="22"/>
          <w:lang w:eastAsia="en-AU"/>
        </w:rPr>
        <w:t>.</w:t>
      </w:r>
    </w:p>
    <w:p w:rsidR="002B29D0" w:rsidRDefault="002B29D0" w:rsidP="00425BA7">
      <w:pPr>
        <w:spacing w:before="240" w:after="0" w:line="240" w:lineRule="auto"/>
        <w:rPr>
          <w:rFonts w:cstheme="minorHAnsi"/>
          <w:i w:val="0"/>
          <w:color w:val="000000"/>
          <w:sz w:val="22"/>
          <w:szCs w:val="22"/>
        </w:rPr>
      </w:pPr>
      <w:r w:rsidRPr="002B29D0">
        <w:rPr>
          <w:rFonts w:cstheme="minorHAnsi"/>
          <w:i w:val="0"/>
          <w:color w:val="000000"/>
          <w:sz w:val="22"/>
          <w:szCs w:val="22"/>
        </w:rPr>
        <w:t>In 201</w:t>
      </w:r>
      <w:r>
        <w:rPr>
          <w:rFonts w:cstheme="minorHAnsi"/>
          <w:i w:val="0"/>
          <w:color w:val="000000"/>
          <w:sz w:val="22"/>
          <w:szCs w:val="22"/>
        </w:rPr>
        <w:t>3</w:t>
      </w:r>
      <w:r w:rsidRPr="002B29D0">
        <w:rPr>
          <w:rFonts w:cstheme="minorHAnsi"/>
          <w:i w:val="0"/>
          <w:color w:val="000000"/>
          <w:sz w:val="22"/>
          <w:szCs w:val="22"/>
        </w:rPr>
        <w:t>-1</w:t>
      </w:r>
      <w:r>
        <w:rPr>
          <w:rFonts w:cstheme="minorHAnsi"/>
          <w:i w:val="0"/>
          <w:color w:val="000000"/>
          <w:sz w:val="22"/>
          <w:szCs w:val="22"/>
        </w:rPr>
        <w:t>4</w:t>
      </w:r>
      <w:r w:rsidRPr="002B29D0">
        <w:rPr>
          <w:rFonts w:cstheme="minorHAnsi"/>
          <w:i w:val="0"/>
          <w:color w:val="000000"/>
          <w:sz w:val="22"/>
          <w:szCs w:val="22"/>
        </w:rPr>
        <w:t xml:space="preserve">, </w:t>
      </w:r>
      <w:r w:rsidR="00661023">
        <w:rPr>
          <w:rFonts w:cstheme="minorHAnsi"/>
          <w:i w:val="0"/>
          <w:color w:val="000000"/>
          <w:sz w:val="22"/>
          <w:szCs w:val="22"/>
        </w:rPr>
        <w:t xml:space="preserve">members of </w:t>
      </w:r>
      <w:r>
        <w:rPr>
          <w:rFonts w:cstheme="minorHAnsi"/>
          <w:i w:val="0"/>
          <w:color w:val="000000"/>
          <w:sz w:val="22"/>
          <w:szCs w:val="22"/>
        </w:rPr>
        <w:t>the unit visited 58</w:t>
      </w:r>
      <w:r w:rsidRPr="002B29D0">
        <w:rPr>
          <w:rFonts w:cstheme="minorHAnsi"/>
          <w:i w:val="0"/>
          <w:color w:val="000000"/>
          <w:sz w:val="22"/>
          <w:szCs w:val="22"/>
        </w:rPr>
        <w:t xml:space="preserve"> Aboriginal and Torres Strait Islander community organisations,</w:t>
      </w:r>
      <w:r w:rsidR="00661023">
        <w:rPr>
          <w:rFonts w:cstheme="minorHAnsi"/>
          <w:i w:val="0"/>
          <w:color w:val="000000"/>
          <w:sz w:val="22"/>
          <w:szCs w:val="22"/>
        </w:rPr>
        <w:t xml:space="preserve"> </w:t>
      </w:r>
      <w:r w:rsidRPr="002B29D0">
        <w:rPr>
          <w:rFonts w:cstheme="minorHAnsi"/>
          <w:i w:val="0"/>
          <w:color w:val="000000"/>
          <w:sz w:val="22"/>
          <w:szCs w:val="22"/>
        </w:rPr>
        <w:t>businesses and service providers to discuss the role of the ADCQ and the Act,</w:t>
      </w:r>
      <w:r w:rsidR="004B6922">
        <w:rPr>
          <w:rFonts w:cstheme="minorHAnsi"/>
          <w:i w:val="0"/>
          <w:color w:val="000000"/>
          <w:sz w:val="22"/>
          <w:szCs w:val="22"/>
        </w:rPr>
        <w:t xml:space="preserve"> and </w:t>
      </w:r>
      <w:r w:rsidR="00661023">
        <w:rPr>
          <w:rFonts w:cstheme="minorHAnsi"/>
          <w:i w:val="0"/>
          <w:color w:val="000000"/>
          <w:sz w:val="22"/>
          <w:szCs w:val="22"/>
        </w:rPr>
        <w:t xml:space="preserve">delivered </w:t>
      </w:r>
      <w:r w:rsidR="004B6922">
        <w:rPr>
          <w:rFonts w:cstheme="minorHAnsi"/>
          <w:i w:val="0"/>
          <w:color w:val="000000"/>
          <w:sz w:val="22"/>
          <w:szCs w:val="22"/>
        </w:rPr>
        <w:t>a total of six</w:t>
      </w:r>
      <w:r w:rsidR="00371A03">
        <w:rPr>
          <w:rFonts w:cstheme="minorHAnsi"/>
          <w:i w:val="0"/>
          <w:color w:val="000000"/>
          <w:sz w:val="22"/>
          <w:szCs w:val="22"/>
        </w:rPr>
        <w:t xml:space="preserve"> </w:t>
      </w:r>
      <w:r w:rsidRPr="004B6922">
        <w:rPr>
          <w:rFonts w:cstheme="minorHAnsi"/>
          <w:color w:val="000000"/>
          <w:sz w:val="22"/>
          <w:szCs w:val="22"/>
        </w:rPr>
        <w:t>Tracking Your Rights</w:t>
      </w:r>
      <w:r w:rsidRPr="002B29D0">
        <w:rPr>
          <w:rFonts w:cstheme="minorHAnsi"/>
          <w:i w:val="0"/>
          <w:color w:val="000000"/>
          <w:sz w:val="22"/>
          <w:szCs w:val="22"/>
        </w:rPr>
        <w:t xml:space="preserve"> training sessions</w:t>
      </w:r>
      <w:r w:rsidR="009A4581">
        <w:rPr>
          <w:rFonts w:cstheme="minorHAnsi"/>
          <w:i w:val="0"/>
          <w:color w:val="000000"/>
          <w:sz w:val="22"/>
          <w:szCs w:val="22"/>
        </w:rPr>
        <w:t xml:space="preserve"> across the state.</w:t>
      </w:r>
    </w:p>
    <w:p w:rsidR="00661023" w:rsidRDefault="00661023" w:rsidP="008716A0">
      <w:pPr>
        <w:spacing w:after="0" w:line="240" w:lineRule="auto"/>
        <w:rPr>
          <w:rFonts w:cstheme="minorHAnsi"/>
          <w:i w:val="0"/>
          <w:color w:val="000000"/>
          <w:sz w:val="22"/>
          <w:szCs w:val="22"/>
        </w:rPr>
      </w:pPr>
    </w:p>
    <w:p w:rsidR="0057766C" w:rsidRDefault="002B29D0" w:rsidP="0057766C">
      <w:pPr>
        <w:spacing w:after="120" w:line="240" w:lineRule="auto"/>
        <w:rPr>
          <w:rFonts w:cstheme="minorHAnsi"/>
          <w:i w:val="0"/>
          <w:color w:val="000000"/>
          <w:sz w:val="22"/>
          <w:szCs w:val="22"/>
        </w:rPr>
      </w:pPr>
      <w:r>
        <w:rPr>
          <w:rFonts w:cstheme="minorHAnsi"/>
          <w:i w:val="0"/>
          <w:color w:val="000000"/>
          <w:sz w:val="22"/>
          <w:szCs w:val="22"/>
        </w:rPr>
        <w:t>A</w:t>
      </w:r>
      <w:r w:rsidR="0057766C">
        <w:rPr>
          <w:rFonts w:cstheme="minorHAnsi"/>
          <w:i w:val="0"/>
          <w:color w:val="000000"/>
          <w:sz w:val="22"/>
          <w:szCs w:val="22"/>
        </w:rPr>
        <w:t xml:space="preserve"> </w:t>
      </w:r>
      <w:r w:rsidR="00661023">
        <w:rPr>
          <w:rFonts w:cstheme="minorHAnsi"/>
          <w:i w:val="0"/>
          <w:color w:val="000000"/>
          <w:sz w:val="22"/>
          <w:szCs w:val="22"/>
        </w:rPr>
        <w:t xml:space="preserve">special </w:t>
      </w:r>
      <w:r w:rsidR="0057766C">
        <w:rPr>
          <w:rFonts w:cstheme="minorHAnsi"/>
          <w:i w:val="0"/>
          <w:color w:val="000000"/>
          <w:sz w:val="22"/>
          <w:szCs w:val="22"/>
        </w:rPr>
        <w:t xml:space="preserve">achievement of the </w:t>
      </w:r>
      <w:r w:rsidR="00661023">
        <w:rPr>
          <w:rFonts w:cstheme="minorHAnsi"/>
          <w:i w:val="0"/>
          <w:color w:val="000000"/>
          <w:sz w:val="22"/>
          <w:szCs w:val="22"/>
        </w:rPr>
        <w:t>u</w:t>
      </w:r>
      <w:r w:rsidR="0057766C">
        <w:rPr>
          <w:rFonts w:cstheme="minorHAnsi"/>
          <w:i w:val="0"/>
          <w:color w:val="000000"/>
          <w:sz w:val="22"/>
          <w:szCs w:val="22"/>
        </w:rPr>
        <w:t>nit in 2013-14 was deliver</w:t>
      </w:r>
      <w:r w:rsidR="00661023">
        <w:rPr>
          <w:rFonts w:cstheme="minorHAnsi"/>
          <w:i w:val="0"/>
          <w:color w:val="000000"/>
          <w:sz w:val="22"/>
          <w:szCs w:val="22"/>
        </w:rPr>
        <w:t>ing</w:t>
      </w:r>
      <w:r w:rsidR="0057766C">
        <w:rPr>
          <w:rFonts w:cstheme="minorHAnsi"/>
          <w:i w:val="0"/>
          <w:color w:val="000000"/>
          <w:sz w:val="22"/>
          <w:szCs w:val="22"/>
        </w:rPr>
        <w:t xml:space="preserve"> the fifth biennial </w:t>
      </w:r>
      <w:proofErr w:type="spellStart"/>
      <w:r w:rsidR="0057766C">
        <w:rPr>
          <w:rFonts w:cstheme="minorHAnsi"/>
          <w:i w:val="0"/>
          <w:color w:val="000000"/>
          <w:sz w:val="22"/>
          <w:szCs w:val="22"/>
        </w:rPr>
        <w:t>Mabo</w:t>
      </w:r>
      <w:proofErr w:type="spellEnd"/>
      <w:r w:rsidR="0057766C">
        <w:rPr>
          <w:rFonts w:cstheme="minorHAnsi"/>
          <w:i w:val="0"/>
          <w:color w:val="000000"/>
          <w:sz w:val="22"/>
          <w:szCs w:val="22"/>
        </w:rPr>
        <w:t xml:space="preserve"> Oration in partnership with the Queensland Performing Arts Centre. </w:t>
      </w:r>
      <w:r>
        <w:rPr>
          <w:rFonts w:cstheme="minorHAnsi"/>
          <w:i w:val="0"/>
          <w:color w:val="000000"/>
          <w:sz w:val="22"/>
          <w:szCs w:val="22"/>
        </w:rPr>
        <w:t>The event promotes Indigenous social, economic, civil and human rights in Queensland and Australia as well as raising public awareness of ongoing and future human rights con</w:t>
      </w:r>
      <w:r w:rsidR="009A4581">
        <w:rPr>
          <w:rFonts w:cstheme="minorHAnsi"/>
          <w:i w:val="0"/>
          <w:color w:val="000000"/>
          <w:sz w:val="22"/>
          <w:szCs w:val="22"/>
        </w:rPr>
        <w:t>cerns for first nation peoples.</w:t>
      </w:r>
    </w:p>
    <w:p w:rsidR="002B29D0" w:rsidRDefault="002B29D0" w:rsidP="00425BA7">
      <w:pPr>
        <w:spacing w:before="240" w:after="120" w:line="240" w:lineRule="auto"/>
        <w:rPr>
          <w:rFonts w:cstheme="minorHAnsi"/>
          <w:i w:val="0"/>
          <w:color w:val="000000"/>
          <w:sz w:val="22"/>
          <w:szCs w:val="22"/>
        </w:rPr>
      </w:pPr>
      <w:r>
        <w:rPr>
          <w:rFonts w:cstheme="minorHAnsi"/>
          <w:i w:val="0"/>
          <w:color w:val="000000"/>
          <w:sz w:val="22"/>
          <w:szCs w:val="22"/>
        </w:rPr>
        <w:t xml:space="preserve">The 2013 </w:t>
      </w:r>
      <w:proofErr w:type="spellStart"/>
      <w:r>
        <w:rPr>
          <w:rFonts w:cstheme="minorHAnsi"/>
          <w:i w:val="0"/>
          <w:color w:val="000000"/>
          <w:sz w:val="22"/>
          <w:szCs w:val="22"/>
        </w:rPr>
        <w:t>Mabo</w:t>
      </w:r>
      <w:proofErr w:type="spellEnd"/>
      <w:r>
        <w:rPr>
          <w:rFonts w:cstheme="minorHAnsi"/>
          <w:i w:val="0"/>
          <w:color w:val="000000"/>
          <w:sz w:val="22"/>
          <w:szCs w:val="22"/>
        </w:rPr>
        <w:t xml:space="preserve"> Oration</w:t>
      </w:r>
      <w:r w:rsidR="009409A4">
        <w:rPr>
          <w:rFonts w:cstheme="minorHAnsi"/>
          <w:i w:val="0"/>
          <w:color w:val="000000"/>
          <w:sz w:val="22"/>
          <w:szCs w:val="22"/>
        </w:rPr>
        <w:t>, attended by over 400 people,</w:t>
      </w:r>
      <w:r w:rsidR="007826EB">
        <w:rPr>
          <w:rFonts w:cstheme="minorHAnsi"/>
          <w:i w:val="0"/>
          <w:color w:val="000000"/>
          <w:sz w:val="22"/>
          <w:szCs w:val="22"/>
        </w:rPr>
        <w:t xml:space="preserve"> </w:t>
      </w:r>
      <w:r>
        <w:rPr>
          <w:rFonts w:cstheme="minorHAnsi"/>
          <w:i w:val="0"/>
          <w:color w:val="000000"/>
          <w:sz w:val="22"/>
          <w:szCs w:val="22"/>
        </w:rPr>
        <w:t xml:space="preserve">was delivered by Les Malezer, co-chair of the National Congress of Australia’s First People. He presented a paper titled </w:t>
      </w:r>
      <w:r w:rsidRPr="002B29D0">
        <w:rPr>
          <w:rFonts w:cstheme="minorHAnsi"/>
          <w:color w:val="000000"/>
          <w:sz w:val="22"/>
          <w:szCs w:val="22"/>
        </w:rPr>
        <w:t xml:space="preserve">Aboriginal Sovereignty – redefining native title as the inalienable right to hold and develop our lands, territories and resources. </w:t>
      </w:r>
      <w:r>
        <w:rPr>
          <w:rFonts w:cstheme="minorHAnsi"/>
          <w:i w:val="0"/>
          <w:color w:val="000000"/>
          <w:sz w:val="22"/>
          <w:szCs w:val="22"/>
        </w:rPr>
        <w:t xml:space="preserve">Commentary was provided by human rights lawyer and Australian Jesuit priest, </w:t>
      </w:r>
      <w:r w:rsidR="00D03DDE">
        <w:rPr>
          <w:rFonts w:cstheme="minorHAnsi"/>
          <w:i w:val="0"/>
          <w:color w:val="000000"/>
          <w:sz w:val="22"/>
          <w:szCs w:val="22"/>
        </w:rPr>
        <w:t xml:space="preserve">Father </w:t>
      </w:r>
      <w:r>
        <w:rPr>
          <w:rFonts w:cstheme="minorHAnsi"/>
          <w:i w:val="0"/>
          <w:color w:val="000000"/>
          <w:sz w:val="22"/>
          <w:szCs w:val="22"/>
        </w:rPr>
        <w:t xml:space="preserve">Frank Brennan. The event also </w:t>
      </w:r>
      <w:r w:rsidR="00D03DDE">
        <w:rPr>
          <w:rFonts w:cstheme="minorHAnsi"/>
          <w:i w:val="0"/>
          <w:color w:val="000000"/>
          <w:sz w:val="22"/>
          <w:szCs w:val="22"/>
        </w:rPr>
        <w:t xml:space="preserve">showcased </w:t>
      </w:r>
      <w:r>
        <w:rPr>
          <w:rFonts w:cstheme="minorHAnsi"/>
          <w:i w:val="0"/>
          <w:color w:val="000000"/>
          <w:sz w:val="22"/>
          <w:szCs w:val="22"/>
        </w:rPr>
        <w:t>local Indigenous talent with opening and closing performances by Thelma Plum, one of the first graduates of the Music Industry College in Brisbane’s Fortitude Valley.</w:t>
      </w:r>
    </w:p>
    <w:p w:rsidR="002B29D0" w:rsidRPr="002B29D0" w:rsidRDefault="002B29D0" w:rsidP="0057766C">
      <w:pPr>
        <w:spacing w:after="120" w:line="240" w:lineRule="auto"/>
        <w:rPr>
          <w:rFonts w:cstheme="minorHAnsi"/>
          <w:i w:val="0"/>
          <w:color w:val="000000"/>
          <w:sz w:val="22"/>
          <w:szCs w:val="22"/>
        </w:rPr>
      </w:pPr>
    </w:p>
    <w:p w:rsidR="0035643F" w:rsidRPr="002F3BB0" w:rsidRDefault="0035643F" w:rsidP="00B81ECD">
      <w:pPr>
        <w:pStyle w:val="Heading1"/>
        <w:pageBreakBefore/>
        <w:rPr>
          <w:rFonts w:asciiTheme="minorHAnsi" w:hAnsiTheme="minorHAnsi" w:cstheme="minorHAnsi"/>
          <w:i w:val="0"/>
          <w:color w:val="auto"/>
        </w:rPr>
      </w:pPr>
      <w:bookmarkStart w:id="21" w:name="_Toc366487303"/>
      <w:bookmarkStart w:id="22" w:name="_Toc397345681"/>
      <w:r w:rsidRPr="002F3BB0">
        <w:rPr>
          <w:rFonts w:asciiTheme="minorHAnsi" w:hAnsiTheme="minorHAnsi" w:cstheme="minorHAnsi"/>
          <w:i w:val="0"/>
          <w:color w:val="auto"/>
        </w:rPr>
        <w:lastRenderedPageBreak/>
        <w:t>Complaint management</w:t>
      </w:r>
      <w:bookmarkEnd w:id="21"/>
      <w:bookmarkEnd w:id="22"/>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i w:val="0"/>
          <w:sz w:val="22"/>
          <w:lang w:eastAsia="en-AU"/>
        </w:rPr>
        <w:t xml:space="preserve">The Commission’s focus on complainant management through resolving complaints under the </w:t>
      </w:r>
      <w:r w:rsidRPr="002F3BB0">
        <w:rPr>
          <w:rFonts w:ascii="Arial" w:hAnsi="Arial" w:cs="Arial"/>
          <w:sz w:val="22"/>
          <w:lang w:eastAsia="en-AU"/>
        </w:rPr>
        <w:t xml:space="preserve">Anti-Discrimination Act 1991 </w:t>
      </w:r>
      <w:r w:rsidR="003243FE" w:rsidRPr="003243FE">
        <w:rPr>
          <w:rFonts w:ascii="Arial" w:hAnsi="Arial" w:cs="Arial"/>
          <w:i w:val="0"/>
          <w:sz w:val="22"/>
          <w:lang w:eastAsia="en-AU"/>
        </w:rPr>
        <w:t>without the need for a Tribunal hearing</w:t>
      </w:r>
      <w:r w:rsidR="003243FE">
        <w:rPr>
          <w:rFonts w:ascii="Arial" w:hAnsi="Arial" w:cs="Arial"/>
          <w:sz w:val="22"/>
          <w:lang w:eastAsia="en-AU"/>
        </w:rPr>
        <w:t xml:space="preserve"> </w:t>
      </w:r>
      <w:r w:rsidRPr="002F3BB0">
        <w:rPr>
          <w:rFonts w:ascii="Arial" w:hAnsi="Arial" w:cs="Arial"/>
          <w:i w:val="0"/>
          <w:sz w:val="22"/>
          <w:lang w:eastAsia="en-AU"/>
        </w:rPr>
        <w:t>has</w:t>
      </w:r>
      <w:r w:rsidR="009A4581">
        <w:rPr>
          <w:rFonts w:ascii="Arial" w:hAnsi="Arial" w:cs="Arial"/>
          <w:i w:val="0"/>
          <w:sz w:val="22"/>
          <w:lang w:eastAsia="en-AU"/>
        </w:rPr>
        <w:t xml:space="preserve"> been very effective this year.</w:t>
      </w:r>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i w:val="0"/>
          <w:sz w:val="22"/>
          <w:lang w:eastAsia="en-AU"/>
        </w:rPr>
        <w:t>The Commission deals with complaints about discrimination, sexual harassment, victimisation, vilification and requests for unnecessary information. The Commission also has power to deal with complaints of reprisal against whistle blowers who elect to resolve their complaints by conciliation rather than issue court proceedings.</w:t>
      </w:r>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i w:val="0"/>
          <w:sz w:val="22"/>
          <w:lang w:eastAsia="en-AU"/>
        </w:rPr>
        <w:t>The Commission has again met or exceeded its complaint management targets in terms of quantity, quality and timeliness.</w:t>
      </w:r>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i w:val="0"/>
          <w:sz w:val="22"/>
          <w:lang w:eastAsia="en-AU"/>
        </w:rPr>
        <w:t xml:space="preserve">This year, the Commission implemented a new client evaluation form which assists the complaint management </w:t>
      </w:r>
      <w:r w:rsidR="009D105E">
        <w:rPr>
          <w:rFonts w:ascii="Arial" w:hAnsi="Arial" w:cs="Arial"/>
          <w:i w:val="0"/>
          <w:sz w:val="22"/>
          <w:lang w:eastAsia="en-AU"/>
        </w:rPr>
        <w:t xml:space="preserve">team </w:t>
      </w:r>
      <w:r w:rsidRPr="002F3BB0">
        <w:rPr>
          <w:rFonts w:ascii="Arial" w:hAnsi="Arial" w:cs="Arial"/>
          <w:i w:val="0"/>
          <w:sz w:val="22"/>
          <w:lang w:eastAsia="en-AU"/>
        </w:rPr>
        <w:t>to better assess the impact of its services and policies</w:t>
      </w:r>
      <w:r w:rsidR="009D5BD8">
        <w:rPr>
          <w:rFonts w:ascii="Arial" w:hAnsi="Arial" w:cs="Arial"/>
          <w:i w:val="0"/>
          <w:sz w:val="22"/>
          <w:lang w:eastAsia="en-AU"/>
        </w:rPr>
        <w:t>,</w:t>
      </w:r>
      <w:r w:rsidRPr="002F3BB0">
        <w:rPr>
          <w:rFonts w:ascii="Arial" w:hAnsi="Arial" w:cs="Arial"/>
          <w:i w:val="0"/>
          <w:sz w:val="22"/>
          <w:lang w:eastAsia="en-AU"/>
        </w:rPr>
        <w:t xml:space="preserve"> and to identify opportunities for improvement. The effective complaint management processes adopted by the Commission mean that satisfaction rates remain high with </w:t>
      </w:r>
      <w:r w:rsidRPr="007826EB">
        <w:rPr>
          <w:rFonts w:ascii="Arial" w:hAnsi="Arial" w:cs="Arial"/>
          <w:i w:val="0"/>
          <w:sz w:val="22"/>
          <w:lang w:eastAsia="en-AU"/>
        </w:rPr>
        <w:t>89%</w:t>
      </w:r>
      <w:r w:rsidRPr="009409A4">
        <w:rPr>
          <w:rFonts w:ascii="Arial" w:hAnsi="Arial" w:cs="Arial"/>
          <w:i w:val="0"/>
          <w:sz w:val="22"/>
          <w:lang w:eastAsia="en-AU"/>
        </w:rPr>
        <w:t xml:space="preserve"> </w:t>
      </w:r>
      <w:r w:rsidRPr="002F3BB0">
        <w:rPr>
          <w:rFonts w:ascii="Arial" w:hAnsi="Arial" w:cs="Arial"/>
          <w:i w:val="0"/>
          <w:sz w:val="22"/>
          <w:lang w:eastAsia="en-AU"/>
        </w:rPr>
        <w:t>of all parties evaluating the service as satisfactory or very satisfactory, continuing the consistently high satisfaction rates of the past six years.</w:t>
      </w:r>
    </w:p>
    <w:p w:rsidR="00E82950" w:rsidRPr="002F3BB0" w:rsidRDefault="00E82950" w:rsidP="00425BA7">
      <w:pPr>
        <w:spacing w:before="120" w:after="0" w:line="240" w:lineRule="auto"/>
        <w:rPr>
          <w:rFonts w:ascii="Arial" w:hAnsi="Arial" w:cs="Arial"/>
          <w:i w:val="0"/>
          <w:sz w:val="22"/>
          <w:lang w:eastAsia="en-AU"/>
        </w:rPr>
      </w:pPr>
      <w:r w:rsidRPr="002F3BB0">
        <w:rPr>
          <w:rFonts w:ascii="Arial" w:hAnsi="Arial" w:cs="Arial"/>
          <w:i w:val="0"/>
          <w:sz w:val="22"/>
          <w:lang w:eastAsia="en-AU"/>
        </w:rPr>
        <w:t xml:space="preserve">Complaints are now managed in all offices - Brisbane, Rockhampton, Townsville and Cairns </w:t>
      </w:r>
      <w:proofErr w:type="gramStart"/>
      <w:r w:rsidRPr="002F3BB0">
        <w:rPr>
          <w:rFonts w:ascii="Arial" w:hAnsi="Arial" w:cs="Arial"/>
          <w:i w:val="0"/>
          <w:sz w:val="22"/>
          <w:lang w:eastAsia="en-AU"/>
        </w:rPr>
        <w:t>-  to</w:t>
      </w:r>
      <w:proofErr w:type="gramEnd"/>
      <w:r w:rsidRPr="002F3BB0">
        <w:rPr>
          <w:rFonts w:ascii="Arial" w:hAnsi="Arial" w:cs="Arial"/>
          <w:i w:val="0"/>
          <w:sz w:val="22"/>
          <w:lang w:eastAsia="en-AU"/>
        </w:rPr>
        <w:t xml:space="preserve"> ensure that they are dealt with as quickly as possible, regardless of where the complaint arose. While this sometimes means that more complaints are conciliated through teleconferences, the high resolution rate has continued.</w:t>
      </w:r>
    </w:p>
    <w:p w:rsidR="00E82950" w:rsidRPr="002F3BB0" w:rsidRDefault="0035643F" w:rsidP="00565444">
      <w:pPr>
        <w:pStyle w:val="Heading2"/>
        <w:rPr>
          <w:i/>
        </w:rPr>
      </w:pPr>
      <w:r w:rsidRPr="002F3BB0">
        <w:t>State-wide complaint trends</w:t>
      </w:r>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sz w:val="22"/>
          <w:lang w:eastAsia="en-AU"/>
        </w:rPr>
        <w:t xml:space="preserve">Table </w:t>
      </w:r>
      <w:r w:rsidR="00066FF2">
        <w:rPr>
          <w:rFonts w:ascii="Arial" w:hAnsi="Arial" w:cs="Arial"/>
          <w:sz w:val="22"/>
          <w:lang w:eastAsia="en-AU"/>
        </w:rPr>
        <w:t>8</w:t>
      </w:r>
      <w:r w:rsidRPr="002F3BB0">
        <w:rPr>
          <w:rFonts w:ascii="Arial" w:hAnsi="Arial" w:cs="Arial"/>
          <w:sz w:val="22"/>
          <w:lang w:eastAsia="en-AU"/>
        </w:rPr>
        <w:t xml:space="preserve">, </w:t>
      </w:r>
      <w:r w:rsidRPr="002F3BB0">
        <w:rPr>
          <w:rFonts w:ascii="Arial" w:hAnsi="Arial" w:cs="Arial"/>
          <w:i w:val="0"/>
          <w:sz w:val="22"/>
          <w:lang w:eastAsia="en-AU"/>
        </w:rPr>
        <w:t>shows that this year 636 complaints were received across the state, representing a 6% decrease from the 679 complaints received last year. The majority of complaints received were made to the Brisbane Office and originated from th</w:t>
      </w:r>
      <w:r w:rsidR="009A4581">
        <w:rPr>
          <w:rFonts w:ascii="Arial" w:hAnsi="Arial" w:cs="Arial"/>
          <w:i w:val="0"/>
          <w:sz w:val="22"/>
          <w:lang w:eastAsia="en-AU"/>
        </w:rPr>
        <w:t>e south-east Queensland region.</w:t>
      </w:r>
    </w:p>
    <w:p w:rsidR="00E82950" w:rsidRPr="002F3BB0" w:rsidRDefault="00371A03" w:rsidP="00425BA7">
      <w:pPr>
        <w:spacing w:before="120" w:after="240" w:line="240" w:lineRule="auto"/>
        <w:rPr>
          <w:rFonts w:ascii="Arial" w:hAnsi="Arial" w:cs="Arial"/>
          <w:i w:val="0"/>
          <w:sz w:val="22"/>
          <w:lang w:eastAsia="en-AU"/>
        </w:rPr>
      </w:pPr>
      <w:r>
        <w:rPr>
          <w:rFonts w:ascii="Arial" w:hAnsi="Arial" w:cs="Arial"/>
          <w:i w:val="0"/>
          <w:sz w:val="22"/>
          <w:lang w:eastAsia="en-AU"/>
        </w:rPr>
        <w:t>O</w:t>
      </w:r>
      <w:r w:rsidR="00E82950" w:rsidRPr="002F3BB0">
        <w:rPr>
          <w:rFonts w:ascii="Arial" w:hAnsi="Arial" w:cs="Arial"/>
          <w:i w:val="0"/>
          <w:sz w:val="22"/>
          <w:lang w:eastAsia="en-AU"/>
        </w:rPr>
        <w:t>f the complaints assessed this year</w:t>
      </w:r>
      <w:r>
        <w:rPr>
          <w:rFonts w:ascii="Arial" w:hAnsi="Arial" w:cs="Arial"/>
          <w:i w:val="0"/>
          <w:sz w:val="22"/>
          <w:lang w:eastAsia="en-AU"/>
        </w:rPr>
        <w:t>,</w:t>
      </w:r>
      <w:r w:rsidR="00E82950" w:rsidRPr="002F3BB0">
        <w:rPr>
          <w:rFonts w:ascii="Arial" w:hAnsi="Arial" w:cs="Arial"/>
          <w:i w:val="0"/>
          <w:sz w:val="22"/>
          <w:lang w:eastAsia="en-AU"/>
        </w:rPr>
        <w:t xml:space="preserve"> </w:t>
      </w:r>
      <w:r>
        <w:rPr>
          <w:rFonts w:ascii="Arial" w:hAnsi="Arial" w:cs="Arial"/>
          <w:i w:val="0"/>
          <w:sz w:val="22"/>
          <w:lang w:eastAsia="en-AU"/>
        </w:rPr>
        <w:t xml:space="preserve">403 </w:t>
      </w:r>
      <w:r w:rsidR="00E82950" w:rsidRPr="002F3BB0">
        <w:rPr>
          <w:rFonts w:ascii="Arial" w:hAnsi="Arial" w:cs="Arial"/>
          <w:i w:val="0"/>
          <w:sz w:val="22"/>
          <w:lang w:eastAsia="en-AU"/>
        </w:rPr>
        <w:t>were accepted as coming within the Commission’s jurisdiction</w:t>
      </w:r>
      <w:r>
        <w:rPr>
          <w:rFonts w:ascii="Arial" w:hAnsi="Arial" w:cs="Arial"/>
          <w:i w:val="0"/>
          <w:sz w:val="22"/>
          <w:lang w:eastAsia="en-AU"/>
        </w:rPr>
        <w:t>. This</w:t>
      </w:r>
      <w:r w:rsidR="00E82950" w:rsidRPr="002F3BB0">
        <w:rPr>
          <w:rFonts w:ascii="Arial" w:hAnsi="Arial" w:cs="Arial"/>
          <w:i w:val="0"/>
          <w:sz w:val="22"/>
          <w:lang w:eastAsia="en-AU"/>
        </w:rPr>
        <w:t xml:space="preserve"> represent</w:t>
      </w:r>
      <w:r>
        <w:rPr>
          <w:rFonts w:ascii="Arial" w:hAnsi="Arial" w:cs="Arial"/>
          <w:i w:val="0"/>
          <w:sz w:val="22"/>
          <w:lang w:eastAsia="en-AU"/>
        </w:rPr>
        <w:t>s</w:t>
      </w:r>
      <w:r w:rsidR="00E82950" w:rsidRPr="002F3BB0">
        <w:rPr>
          <w:rFonts w:ascii="Arial" w:hAnsi="Arial" w:cs="Arial"/>
          <w:i w:val="0"/>
          <w:sz w:val="22"/>
          <w:lang w:eastAsia="en-AU"/>
        </w:rPr>
        <w:t xml:space="preserve"> about 63</w:t>
      </w:r>
      <w:r>
        <w:rPr>
          <w:rFonts w:ascii="Arial" w:hAnsi="Arial" w:cs="Arial"/>
          <w:i w:val="0"/>
          <w:sz w:val="22"/>
          <w:lang w:eastAsia="en-AU"/>
        </w:rPr>
        <w:t>%</w:t>
      </w:r>
      <w:r w:rsidR="00E82950" w:rsidRPr="002F3BB0">
        <w:rPr>
          <w:rFonts w:ascii="Arial" w:hAnsi="Arial" w:cs="Arial"/>
          <w:i w:val="0"/>
          <w:sz w:val="22"/>
          <w:lang w:eastAsia="en-AU"/>
        </w:rPr>
        <w:t xml:space="preserve"> of complaints received, which is a small increase from the 58% accepted last year. The remaining 37% of complaints received during the financial year fell outside of the Commission’s jurisdiction except for a small number which are awaiting final assessment. Where a complaint does not come within the Commission’s jurisdiction, the complainant is generally referred to another agency which can assist the</w:t>
      </w:r>
      <w:r>
        <w:rPr>
          <w:rFonts w:ascii="Arial" w:hAnsi="Arial" w:cs="Arial"/>
          <w:i w:val="0"/>
          <w:sz w:val="22"/>
          <w:lang w:eastAsia="en-AU"/>
        </w:rPr>
        <w:t xml:space="preserve"> person</w:t>
      </w:r>
      <w:r w:rsidR="009A4581">
        <w:rPr>
          <w:rFonts w:ascii="Arial" w:hAnsi="Arial" w:cs="Arial"/>
          <w:i w:val="0"/>
          <w:sz w:val="22"/>
          <w:lang w:eastAsia="en-AU"/>
        </w:rPr>
        <w:t>.</w:t>
      </w:r>
    </w:p>
    <w:p w:rsidR="000A6442" w:rsidRPr="002F3BB0" w:rsidRDefault="00371A03" w:rsidP="00425BA7">
      <w:pPr>
        <w:spacing w:before="120" w:after="0" w:line="240" w:lineRule="auto"/>
        <w:rPr>
          <w:rFonts w:cstheme="minorHAnsi"/>
          <w:i w:val="0"/>
          <w:sz w:val="22"/>
          <w:szCs w:val="22"/>
        </w:rPr>
      </w:pPr>
      <w:r>
        <w:rPr>
          <w:rFonts w:ascii="Arial" w:hAnsi="Arial" w:cs="Arial"/>
          <w:i w:val="0"/>
          <w:sz w:val="22"/>
          <w:lang w:eastAsia="en-AU"/>
        </w:rPr>
        <w:t xml:space="preserve">The total number of </w:t>
      </w:r>
      <w:r w:rsidR="00E82950" w:rsidRPr="002F3BB0">
        <w:rPr>
          <w:rFonts w:ascii="Arial" w:hAnsi="Arial" w:cs="Arial"/>
          <w:i w:val="0"/>
          <w:sz w:val="22"/>
          <w:lang w:eastAsia="en-AU"/>
        </w:rPr>
        <w:t>complaints finalised this year</w:t>
      </w:r>
      <w:r>
        <w:rPr>
          <w:rFonts w:ascii="Arial" w:hAnsi="Arial" w:cs="Arial"/>
          <w:i w:val="0"/>
          <w:sz w:val="22"/>
          <w:lang w:eastAsia="en-AU"/>
        </w:rPr>
        <w:t xml:space="preserve"> was 698</w:t>
      </w:r>
      <w:r w:rsidR="00E82950" w:rsidRPr="002F3BB0">
        <w:rPr>
          <w:rFonts w:ascii="Arial" w:hAnsi="Arial" w:cs="Arial"/>
          <w:i w:val="0"/>
          <w:sz w:val="22"/>
          <w:lang w:eastAsia="en-AU"/>
        </w:rPr>
        <w:t>, including some complaints lodged in previous years</w:t>
      </w:r>
      <w:r w:rsidR="009645D4">
        <w:rPr>
          <w:rFonts w:ascii="Arial" w:hAnsi="Arial" w:cs="Arial"/>
          <w:i w:val="0"/>
          <w:sz w:val="22"/>
          <w:lang w:eastAsia="en-AU"/>
        </w:rPr>
        <w:t>.</w:t>
      </w:r>
    </w:p>
    <w:p w:rsidR="00FB682C" w:rsidRPr="002F3BB0" w:rsidRDefault="00FB682C" w:rsidP="00FD3E25">
      <w:pPr>
        <w:pStyle w:val="Heading3"/>
      </w:pPr>
      <w:r w:rsidRPr="002F3BB0">
        <w:t xml:space="preserve">Table </w:t>
      </w:r>
      <w:r w:rsidR="0033101E">
        <w:t>8:</w:t>
      </w:r>
      <w:r w:rsidRPr="002F3BB0">
        <w:t xml:space="preserve"> 201</w:t>
      </w:r>
      <w:r w:rsidR="00E82950" w:rsidRPr="002F3BB0">
        <w:t>3</w:t>
      </w:r>
      <w:r w:rsidRPr="002F3BB0">
        <w:t>-1</w:t>
      </w:r>
      <w:r w:rsidR="00E82950" w:rsidRPr="002F3BB0">
        <w:t>4</w:t>
      </w:r>
      <w:r w:rsidRPr="002F3BB0">
        <w:t xml:space="preserve"> Complaints received, a</w:t>
      </w:r>
      <w:r w:rsidR="008716A0">
        <w:t>ccepted</w:t>
      </w:r>
      <w:r w:rsidRPr="002F3BB0">
        <w:t xml:space="preserve"> &amp; finalised</w:t>
      </w:r>
    </w:p>
    <w:tbl>
      <w:tblPr>
        <w:tblStyle w:val="LightList-Accent5"/>
        <w:tblW w:w="0" w:type="auto"/>
        <w:tblLook w:val="01E0" w:firstRow="1" w:lastRow="1" w:firstColumn="1" w:lastColumn="1" w:noHBand="0" w:noVBand="0"/>
        <w:tblDescription w:val="Complaints received, accepted and finalised"/>
      </w:tblPr>
      <w:tblGrid>
        <w:gridCol w:w="3465"/>
        <w:gridCol w:w="1500"/>
        <w:gridCol w:w="1097"/>
        <w:gridCol w:w="925"/>
        <w:gridCol w:w="1236"/>
        <w:gridCol w:w="1346"/>
      </w:tblGrid>
      <w:tr w:rsidR="000A6442" w:rsidRPr="002F3BB0" w:rsidTr="007447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65" w:type="dxa"/>
          </w:tcPr>
          <w:p w:rsidR="000A6442" w:rsidRPr="002F3BB0" w:rsidRDefault="000A6442" w:rsidP="00437BD9">
            <w:pPr>
              <w:keepNext/>
              <w:keepLines/>
              <w:jc w:val="center"/>
              <w:rPr>
                <w:rFonts w:cstheme="minorHAnsi"/>
                <w:b w:val="0"/>
                <w:i w:val="0"/>
                <w:sz w:val="22"/>
                <w:szCs w:val="22"/>
              </w:rPr>
            </w:pPr>
          </w:p>
        </w:tc>
        <w:tc>
          <w:tcPr>
            <w:cnfStyle w:val="000010000000" w:firstRow="0" w:lastRow="0" w:firstColumn="0" w:lastColumn="0" w:oddVBand="1" w:evenVBand="0" w:oddHBand="0" w:evenHBand="0" w:firstRowFirstColumn="0" w:firstRowLastColumn="0" w:lastRowFirstColumn="0" w:lastRowLastColumn="0"/>
            <w:tcW w:w="1500" w:type="dxa"/>
          </w:tcPr>
          <w:p w:rsidR="000A6442" w:rsidRPr="002F3BB0" w:rsidRDefault="000A6442" w:rsidP="00BF076D">
            <w:pPr>
              <w:keepNext/>
              <w:keepLines/>
              <w:jc w:val="center"/>
              <w:rPr>
                <w:rFonts w:cstheme="minorHAnsi"/>
                <w:b w:val="0"/>
                <w:i w:val="0"/>
                <w:sz w:val="22"/>
                <w:szCs w:val="22"/>
              </w:rPr>
            </w:pPr>
            <w:r w:rsidRPr="002F3BB0">
              <w:rPr>
                <w:rFonts w:cstheme="minorHAnsi"/>
                <w:b w:val="0"/>
                <w:i w:val="0"/>
                <w:sz w:val="22"/>
                <w:szCs w:val="22"/>
              </w:rPr>
              <w:t>South</w:t>
            </w:r>
            <w:r w:rsidR="00615C10" w:rsidRPr="002F3BB0">
              <w:rPr>
                <w:rFonts w:cstheme="minorHAnsi"/>
                <w:b w:val="0"/>
                <w:i w:val="0"/>
                <w:sz w:val="22"/>
                <w:szCs w:val="22"/>
              </w:rPr>
              <w:t>-</w:t>
            </w:r>
            <w:r w:rsidRPr="002F3BB0">
              <w:rPr>
                <w:rFonts w:cstheme="minorHAnsi"/>
                <w:b w:val="0"/>
                <w:i w:val="0"/>
                <w:sz w:val="22"/>
                <w:szCs w:val="22"/>
              </w:rPr>
              <w:t>East</w:t>
            </w:r>
          </w:p>
        </w:tc>
        <w:tc>
          <w:tcPr>
            <w:tcW w:w="1097" w:type="dxa"/>
          </w:tcPr>
          <w:p w:rsidR="000A6442" w:rsidRPr="002F3BB0" w:rsidRDefault="000A6442" w:rsidP="00437BD9">
            <w:pPr>
              <w:keepNext/>
              <w:keepLines/>
              <w:jc w:val="center"/>
              <w:cnfStyle w:val="100000000000" w:firstRow="1" w:lastRow="0" w:firstColumn="0" w:lastColumn="0" w:oddVBand="0" w:evenVBand="0" w:oddHBand="0" w:evenHBand="0" w:firstRowFirstColumn="0" w:firstRowLastColumn="0" w:lastRowFirstColumn="0" w:lastRowLastColumn="0"/>
              <w:rPr>
                <w:rFonts w:cstheme="minorHAnsi"/>
                <w:b w:val="0"/>
                <w:i w:val="0"/>
                <w:sz w:val="22"/>
                <w:szCs w:val="22"/>
              </w:rPr>
            </w:pPr>
            <w:r w:rsidRPr="002F3BB0">
              <w:rPr>
                <w:rFonts w:cstheme="minorHAnsi"/>
                <w:b w:val="0"/>
                <w:i w:val="0"/>
                <w:sz w:val="22"/>
                <w:szCs w:val="22"/>
              </w:rPr>
              <w:t>Central</w:t>
            </w:r>
          </w:p>
        </w:tc>
        <w:tc>
          <w:tcPr>
            <w:cnfStyle w:val="000010000000" w:firstRow="0" w:lastRow="0" w:firstColumn="0" w:lastColumn="0" w:oddVBand="1" w:evenVBand="0" w:oddHBand="0" w:evenHBand="0" w:firstRowFirstColumn="0" w:firstRowLastColumn="0" w:lastRowFirstColumn="0" w:lastRowLastColumn="0"/>
            <w:tcW w:w="925" w:type="dxa"/>
          </w:tcPr>
          <w:p w:rsidR="000A6442" w:rsidRPr="002F3BB0" w:rsidRDefault="000A6442" w:rsidP="00437BD9">
            <w:pPr>
              <w:keepNext/>
              <w:keepLines/>
              <w:jc w:val="center"/>
              <w:rPr>
                <w:rFonts w:cstheme="minorHAnsi"/>
                <w:b w:val="0"/>
                <w:i w:val="0"/>
                <w:sz w:val="22"/>
                <w:szCs w:val="22"/>
              </w:rPr>
            </w:pPr>
            <w:r w:rsidRPr="002F3BB0">
              <w:rPr>
                <w:rFonts w:cstheme="minorHAnsi"/>
                <w:b w:val="0"/>
                <w:i w:val="0"/>
                <w:sz w:val="22"/>
                <w:szCs w:val="22"/>
              </w:rPr>
              <w:t>North</w:t>
            </w:r>
          </w:p>
        </w:tc>
        <w:tc>
          <w:tcPr>
            <w:tcW w:w="1236" w:type="dxa"/>
          </w:tcPr>
          <w:p w:rsidR="000A6442" w:rsidRPr="002F3BB0" w:rsidRDefault="000A6442" w:rsidP="00BF076D">
            <w:pPr>
              <w:keepNext/>
              <w:keepLines/>
              <w:jc w:val="center"/>
              <w:cnfStyle w:val="100000000000" w:firstRow="1" w:lastRow="0" w:firstColumn="0" w:lastColumn="0" w:oddVBand="0" w:evenVBand="0" w:oddHBand="0" w:evenHBand="0" w:firstRowFirstColumn="0" w:firstRowLastColumn="0" w:lastRowFirstColumn="0" w:lastRowLastColumn="0"/>
              <w:rPr>
                <w:rFonts w:cstheme="minorHAnsi"/>
                <w:b w:val="0"/>
                <w:i w:val="0"/>
                <w:sz w:val="22"/>
                <w:szCs w:val="22"/>
              </w:rPr>
            </w:pPr>
            <w:r w:rsidRPr="002F3BB0">
              <w:rPr>
                <w:rFonts w:cstheme="minorHAnsi"/>
                <w:b w:val="0"/>
                <w:i w:val="0"/>
                <w:sz w:val="22"/>
                <w:szCs w:val="22"/>
              </w:rPr>
              <w:t>Far</w:t>
            </w:r>
            <w:r w:rsidR="00BF076D" w:rsidRPr="002F3BB0">
              <w:rPr>
                <w:rFonts w:cstheme="minorHAnsi"/>
                <w:b w:val="0"/>
                <w:i w:val="0"/>
                <w:sz w:val="22"/>
                <w:szCs w:val="22"/>
              </w:rPr>
              <w:t> </w:t>
            </w:r>
            <w:r w:rsidRPr="002F3BB0">
              <w:rPr>
                <w:rFonts w:cstheme="minorHAnsi"/>
                <w:b w:val="0"/>
                <w:i w:val="0"/>
                <w:sz w:val="22"/>
                <w:szCs w:val="22"/>
              </w:rPr>
              <w:t>North</w:t>
            </w:r>
          </w:p>
        </w:tc>
        <w:tc>
          <w:tcPr>
            <w:cnfStyle w:val="000100000000" w:firstRow="0" w:lastRow="0" w:firstColumn="0" w:lastColumn="1" w:oddVBand="0" w:evenVBand="0" w:oddHBand="0" w:evenHBand="0" w:firstRowFirstColumn="0" w:firstRowLastColumn="0" w:lastRowFirstColumn="0" w:lastRowLastColumn="0"/>
            <w:tcW w:w="1346" w:type="dxa"/>
          </w:tcPr>
          <w:p w:rsidR="000A6442" w:rsidRPr="002F3BB0" w:rsidRDefault="000A6442" w:rsidP="00437BD9">
            <w:pPr>
              <w:keepNext/>
              <w:keepLines/>
              <w:jc w:val="center"/>
              <w:rPr>
                <w:rFonts w:cstheme="minorHAnsi"/>
                <w:b w:val="0"/>
                <w:i w:val="0"/>
                <w:sz w:val="22"/>
                <w:szCs w:val="22"/>
              </w:rPr>
            </w:pPr>
            <w:proofErr w:type="spellStart"/>
            <w:r w:rsidRPr="002F3BB0">
              <w:rPr>
                <w:rFonts w:cstheme="minorHAnsi"/>
                <w:b w:val="0"/>
                <w:i w:val="0"/>
                <w:sz w:val="22"/>
                <w:szCs w:val="22"/>
              </w:rPr>
              <w:t>Statewide</w:t>
            </w:r>
            <w:proofErr w:type="spellEnd"/>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rsidR="000A6442" w:rsidRPr="002F3BB0" w:rsidRDefault="000A6442" w:rsidP="00437BD9">
            <w:pPr>
              <w:keepNext/>
              <w:keepLines/>
              <w:spacing w:before="40" w:after="40"/>
              <w:rPr>
                <w:rFonts w:cstheme="minorHAnsi"/>
                <w:i w:val="0"/>
                <w:sz w:val="22"/>
                <w:szCs w:val="22"/>
                <w:lang w:eastAsia="en-AU"/>
              </w:rPr>
            </w:pPr>
            <w:r w:rsidRPr="002F3BB0">
              <w:rPr>
                <w:rFonts w:cstheme="minorHAnsi"/>
                <w:i w:val="0"/>
                <w:sz w:val="22"/>
                <w:szCs w:val="22"/>
                <w:lang w:eastAsia="en-AU"/>
              </w:rPr>
              <w:t>Complaints received</w:t>
            </w:r>
          </w:p>
        </w:tc>
        <w:tc>
          <w:tcPr>
            <w:cnfStyle w:val="000010000000" w:firstRow="0" w:lastRow="0" w:firstColumn="0" w:lastColumn="0" w:oddVBand="1" w:evenVBand="0" w:oddHBand="0" w:evenHBand="0" w:firstRowFirstColumn="0" w:firstRowLastColumn="0" w:lastRowFirstColumn="0" w:lastRowLastColumn="0"/>
            <w:tcW w:w="1500" w:type="dxa"/>
          </w:tcPr>
          <w:p w:rsidR="000A6442" w:rsidRPr="002F3BB0" w:rsidRDefault="00E82950" w:rsidP="00437BD9">
            <w:pPr>
              <w:keepNext/>
              <w:keepLines/>
              <w:spacing w:before="40" w:after="40"/>
              <w:jc w:val="right"/>
              <w:rPr>
                <w:rFonts w:cstheme="minorHAnsi"/>
                <w:i w:val="0"/>
                <w:sz w:val="22"/>
                <w:szCs w:val="22"/>
                <w:lang w:eastAsia="en-AU"/>
              </w:rPr>
            </w:pPr>
            <w:r w:rsidRPr="002F3BB0">
              <w:rPr>
                <w:rFonts w:cstheme="minorHAnsi"/>
                <w:i w:val="0"/>
                <w:sz w:val="22"/>
                <w:szCs w:val="22"/>
                <w:lang w:eastAsia="en-AU"/>
              </w:rPr>
              <w:t>517</w:t>
            </w:r>
          </w:p>
        </w:tc>
        <w:tc>
          <w:tcPr>
            <w:tcW w:w="1097" w:type="dxa"/>
          </w:tcPr>
          <w:p w:rsidR="000A6442" w:rsidRPr="002F3BB0" w:rsidRDefault="00E82950" w:rsidP="00437B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35</w:t>
            </w:r>
          </w:p>
        </w:tc>
        <w:tc>
          <w:tcPr>
            <w:cnfStyle w:val="000010000000" w:firstRow="0" w:lastRow="0" w:firstColumn="0" w:lastColumn="0" w:oddVBand="1" w:evenVBand="0" w:oddHBand="0" w:evenHBand="0" w:firstRowFirstColumn="0" w:firstRowLastColumn="0" w:lastRowFirstColumn="0" w:lastRowLastColumn="0"/>
            <w:tcW w:w="925" w:type="dxa"/>
          </w:tcPr>
          <w:p w:rsidR="000A6442" w:rsidRPr="002F3BB0" w:rsidRDefault="00E82950" w:rsidP="00437BD9">
            <w:pPr>
              <w:keepNext/>
              <w:keepLines/>
              <w:spacing w:before="40" w:after="40"/>
              <w:jc w:val="right"/>
              <w:rPr>
                <w:rFonts w:cstheme="minorHAnsi"/>
                <w:i w:val="0"/>
                <w:sz w:val="22"/>
                <w:szCs w:val="22"/>
                <w:lang w:eastAsia="en-AU"/>
              </w:rPr>
            </w:pPr>
            <w:r w:rsidRPr="002F3BB0">
              <w:rPr>
                <w:rFonts w:cstheme="minorHAnsi"/>
                <w:i w:val="0"/>
                <w:sz w:val="22"/>
                <w:szCs w:val="22"/>
                <w:lang w:eastAsia="en-AU"/>
              </w:rPr>
              <w:t>42</w:t>
            </w:r>
          </w:p>
        </w:tc>
        <w:tc>
          <w:tcPr>
            <w:tcW w:w="1236" w:type="dxa"/>
          </w:tcPr>
          <w:p w:rsidR="000A6442" w:rsidRPr="002F3BB0" w:rsidRDefault="00E82950" w:rsidP="00437B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42</w:t>
            </w:r>
          </w:p>
        </w:tc>
        <w:tc>
          <w:tcPr>
            <w:cnfStyle w:val="000100000000" w:firstRow="0" w:lastRow="0" w:firstColumn="0" w:lastColumn="1" w:oddVBand="0" w:evenVBand="0" w:oddHBand="0" w:evenHBand="0" w:firstRowFirstColumn="0" w:firstRowLastColumn="0" w:lastRowFirstColumn="0" w:lastRowLastColumn="0"/>
            <w:tcW w:w="1346" w:type="dxa"/>
          </w:tcPr>
          <w:p w:rsidR="000A6442" w:rsidRPr="002F3BB0" w:rsidRDefault="00E82950" w:rsidP="00437BD9">
            <w:pPr>
              <w:keepNext/>
              <w:keepLines/>
              <w:spacing w:before="40" w:after="40"/>
              <w:jc w:val="right"/>
              <w:rPr>
                <w:rFonts w:cstheme="minorHAnsi"/>
                <w:b w:val="0"/>
                <w:i w:val="0"/>
                <w:sz w:val="22"/>
                <w:szCs w:val="22"/>
                <w:lang w:eastAsia="en-AU"/>
              </w:rPr>
            </w:pPr>
            <w:r w:rsidRPr="002F3BB0">
              <w:rPr>
                <w:rFonts w:cstheme="minorHAnsi"/>
                <w:b w:val="0"/>
                <w:i w:val="0"/>
                <w:sz w:val="22"/>
                <w:szCs w:val="22"/>
                <w:lang w:eastAsia="en-AU"/>
              </w:rPr>
              <w:t>636</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3465" w:type="dxa"/>
          </w:tcPr>
          <w:p w:rsidR="000A6442" w:rsidRPr="002F3BB0" w:rsidRDefault="000A6442" w:rsidP="00437BD9">
            <w:pPr>
              <w:keepNext/>
              <w:keepLines/>
              <w:spacing w:before="40" w:after="40"/>
              <w:rPr>
                <w:rFonts w:cstheme="minorHAnsi"/>
                <w:i w:val="0"/>
                <w:sz w:val="22"/>
                <w:szCs w:val="22"/>
                <w:lang w:eastAsia="en-AU"/>
              </w:rPr>
            </w:pPr>
            <w:r w:rsidRPr="002F3BB0">
              <w:rPr>
                <w:rFonts w:cstheme="minorHAnsi"/>
                <w:i w:val="0"/>
                <w:sz w:val="22"/>
                <w:szCs w:val="22"/>
                <w:lang w:eastAsia="en-AU"/>
              </w:rPr>
              <w:t>Complaints accepted</w:t>
            </w:r>
          </w:p>
        </w:tc>
        <w:tc>
          <w:tcPr>
            <w:cnfStyle w:val="000010000000" w:firstRow="0" w:lastRow="0" w:firstColumn="0" w:lastColumn="0" w:oddVBand="1" w:evenVBand="0" w:oddHBand="0" w:evenHBand="0" w:firstRowFirstColumn="0" w:firstRowLastColumn="0" w:lastRowFirstColumn="0" w:lastRowLastColumn="0"/>
            <w:tcW w:w="1500" w:type="dxa"/>
          </w:tcPr>
          <w:p w:rsidR="000A6442" w:rsidRPr="002F3BB0" w:rsidRDefault="00E82950" w:rsidP="00437BD9">
            <w:pPr>
              <w:keepNext/>
              <w:keepLines/>
              <w:spacing w:before="40" w:after="40"/>
              <w:jc w:val="right"/>
              <w:rPr>
                <w:rFonts w:cstheme="minorHAnsi"/>
                <w:i w:val="0"/>
                <w:sz w:val="22"/>
                <w:szCs w:val="22"/>
                <w:lang w:eastAsia="en-AU"/>
              </w:rPr>
            </w:pPr>
            <w:r w:rsidRPr="002F3BB0">
              <w:rPr>
                <w:rFonts w:cstheme="minorHAnsi"/>
                <w:i w:val="0"/>
                <w:sz w:val="22"/>
                <w:szCs w:val="22"/>
                <w:lang w:eastAsia="en-AU"/>
              </w:rPr>
              <w:t>222</w:t>
            </w:r>
          </w:p>
        </w:tc>
        <w:tc>
          <w:tcPr>
            <w:tcW w:w="1097" w:type="dxa"/>
          </w:tcPr>
          <w:p w:rsidR="000A6442" w:rsidRPr="002F3BB0" w:rsidRDefault="00E82950" w:rsidP="00437BD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64</w:t>
            </w:r>
          </w:p>
        </w:tc>
        <w:tc>
          <w:tcPr>
            <w:cnfStyle w:val="000010000000" w:firstRow="0" w:lastRow="0" w:firstColumn="0" w:lastColumn="0" w:oddVBand="1" w:evenVBand="0" w:oddHBand="0" w:evenHBand="0" w:firstRowFirstColumn="0" w:firstRowLastColumn="0" w:lastRowFirstColumn="0" w:lastRowLastColumn="0"/>
            <w:tcW w:w="925" w:type="dxa"/>
          </w:tcPr>
          <w:p w:rsidR="000A6442" w:rsidRPr="002F3BB0" w:rsidRDefault="00E82950" w:rsidP="00437BD9">
            <w:pPr>
              <w:keepNext/>
              <w:keepLines/>
              <w:spacing w:before="40" w:after="40"/>
              <w:jc w:val="right"/>
              <w:rPr>
                <w:rFonts w:cstheme="minorHAnsi"/>
                <w:i w:val="0"/>
                <w:sz w:val="22"/>
                <w:szCs w:val="22"/>
                <w:lang w:eastAsia="en-AU"/>
              </w:rPr>
            </w:pPr>
            <w:r w:rsidRPr="002F3BB0">
              <w:rPr>
                <w:rFonts w:cstheme="minorHAnsi"/>
                <w:i w:val="0"/>
                <w:sz w:val="22"/>
                <w:szCs w:val="22"/>
                <w:lang w:eastAsia="en-AU"/>
              </w:rPr>
              <w:t>51</w:t>
            </w:r>
          </w:p>
        </w:tc>
        <w:tc>
          <w:tcPr>
            <w:tcW w:w="1236" w:type="dxa"/>
          </w:tcPr>
          <w:p w:rsidR="000A6442" w:rsidRPr="002F3BB0" w:rsidRDefault="00E82950" w:rsidP="00437BD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66</w:t>
            </w:r>
          </w:p>
        </w:tc>
        <w:tc>
          <w:tcPr>
            <w:cnfStyle w:val="000100000000" w:firstRow="0" w:lastRow="0" w:firstColumn="0" w:lastColumn="1" w:oddVBand="0" w:evenVBand="0" w:oddHBand="0" w:evenHBand="0" w:firstRowFirstColumn="0" w:firstRowLastColumn="0" w:lastRowFirstColumn="0" w:lastRowLastColumn="0"/>
            <w:tcW w:w="1346" w:type="dxa"/>
          </w:tcPr>
          <w:p w:rsidR="000A6442" w:rsidRPr="002F3BB0" w:rsidRDefault="00E82950" w:rsidP="00437BD9">
            <w:pPr>
              <w:keepNext/>
              <w:keepLines/>
              <w:spacing w:before="40" w:after="40"/>
              <w:jc w:val="right"/>
              <w:rPr>
                <w:rFonts w:cstheme="minorHAnsi"/>
                <w:b w:val="0"/>
                <w:i w:val="0"/>
                <w:sz w:val="22"/>
                <w:szCs w:val="22"/>
                <w:lang w:eastAsia="en-AU"/>
              </w:rPr>
            </w:pPr>
            <w:r w:rsidRPr="002F3BB0">
              <w:rPr>
                <w:rFonts w:cstheme="minorHAnsi"/>
                <w:b w:val="0"/>
                <w:i w:val="0"/>
                <w:sz w:val="22"/>
                <w:szCs w:val="22"/>
                <w:lang w:eastAsia="en-AU"/>
              </w:rPr>
              <w:t>403</w:t>
            </w:r>
          </w:p>
        </w:tc>
      </w:tr>
      <w:tr w:rsidR="00371A03" w:rsidRPr="002F3BB0" w:rsidTr="00585B86">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465" w:type="dxa"/>
          </w:tcPr>
          <w:p w:rsidR="00371A03" w:rsidRPr="00BD357E" w:rsidRDefault="00371A03" w:rsidP="00437BD9">
            <w:pPr>
              <w:keepNext/>
              <w:keepLines/>
              <w:spacing w:before="40" w:after="40"/>
              <w:rPr>
                <w:rFonts w:cstheme="minorHAnsi"/>
                <w:i w:val="0"/>
                <w:sz w:val="12"/>
                <w:szCs w:val="12"/>
                <w:lang w:eastAsia="en-AU"/>
              </w:rPr>
            </w:pPr>
          </w:p>
        </w:tc>
        <w:tc>
          <w:tcPr>
            <w:cnfStyle w:val="000010000000" w:firstRow="0" w:lastRow="0" w:firstColumn="0" w:lastColumn="0" w:oddVBand="1" w:evenVBand="0" w:oddHBand="0" w:evenHBand="0" w:firstRowFirstColumn="0" w:firstRowLastColumn="0" w:lastRowFirstColumn="0" w:lastRowLastColumn="0"/>
            <w:tcW w:w="1500" w:type="dxa"/>
          </w:tcPr>
          <w:p w:rsidR="00371A03" w:rsidRPr="00BD357E" w:rsidRDefault="00371A03" w:rsidP="00437BD9">
            <w:pPr>
              <w:keepNext/>
              <w:keepLines/>
              <w:spacing w:before="40" w:after="40"/>
              <w:jc w:val="right"/>
              <w:rPr>
                <w:rFonts w:cstheme="minorHAnsi"/>
                <w:i w:val="0"/>
                <w:sz w:val="8"/>
                <w:szCs w:val="8"/>
                <w:lang w:eastAsia="en-AU"/>
              </w:rPr>
            </w:pPr>
          </w:p>
        </w:tc>
        <w:tc>
          <w:tcPr>
            <w:tcW w:w="1097" w:type="dxa"/>
          </w:tcPr>
          <w:p w:rsidR="00371A03" w:rsidRPr="00BD357E" w:rsidRDefault="00371A03" w:rsidP="00437B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12"/>
                <w:szCs w:val="12"/>
                <w:lang w:eastAsia="en-AU"/>
              </w:rPr>
            </w:pPr>
          </w:p>
        </w:tc>
        <w:tc>
          <w:tcPr>
            <w:cnfStyle w:val="000010000000" w:firstRow="0" w:lastRow="0" w:firstColumn="0" w:lastColumn="0" w:oddVBand="1" w:evenVBand="0" w:oddHBand="0" w:evenHBand="0" w:firstRowFirstColumn="0" w:firstRowLastColumn="0" w:lastRowFirstColumn="0" w:lastRowLastColumn="0"/>
            <w:tcW w:w="925" w:type="dxa"/>
          </w:tcPr>
          <w:p w:rsidR="00371A03" w:rsidRPr="00BD357E" w:rsidRDefault="00371A03" w:rsidP="00437BD9">
            <w:pPr>
              <w:keepNext/>
              <w:keepLines/>
              <w:spacing w:before="40" w:after="40"/>
              <w:jc w:val="right"/>
              <w:rPr>
                <w:rFonts w:cstheme="minorHAnsi"/>
                <w:i w:val="0"/>
                <w:sz w:val="12"/>
                <w:szCs w:val="12"/>
                <w:lang w:eastAsia="en-AU"/>
              </w:rPr>
            </w:pPr>
          </w:p>
        </w:tc>
        <w:tc>
          <w:tcPr>
            <w:tcW w:w="1236" w:type="dxa"/>
          </w:tcPr>
          <w:p w:rsidR="00371A03" w:rsidRPr="00BD357E" w:rsidRDefault="00371A03" w:rsidP="00437B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12"/>
                <w:szCs w:val="12"/>
                <w:lang w:eastAsia="en-AU"/>
              </w:rPr>
            </w:pPr>
          </w:p>
        </w:tc>
        <w:tc>
          <w:tcPr>
            <w:cnfStyle w:val="000100000000" w:firstRow="0" w:lastRow="0" w:firstColumn="0" w:lastColumn="1" w:oddVBand="0" w:evenVBand="0" w:oddHBand="0" w:evenHBand="0" w:firstRowFirstColumn="0" w:firstRowLastColumn="0" w:lastRowFirstColumn="0" w:lastRowLastColumn="0"/>
            <w:tcW w:w="1346" w:type="dxa"/>
          </w:tcPr>
          <w:p w:rsidR="00371A03" w:rsidRPr="00BD357E" w:rsidRDefault="00371A03" w:rsidP="00437BD9">
            <w:pPr>
              <w:keepNext/>
              <w:keepLines/>
              <w:spacing w:before="40" w:after="40"/>
              <w:jc w:val="right"/>
              <w:rPr>
                <w:rFonts w:cstheme="minorHAnsi"/>
                <w:b w:val="0"/>
                <w:i w:val="0"/>
                <w:sz w:val="12"/>
                <w:szCs w:val="12"/>
                <w:lang w:eastAsia="en-AU"/>
              </w:rPr>
            </w:pPr>
          </w:p>
        </w:tc>
      </w:tr>
      <w:tr w:rsidR="000A6442" w:rsidRPr="002F3BB0" w:rsidTr="00585B86">
        <w:trPr>
          <w:trHeight w:val="268"/>
        </w:trPr>
        <w:tc>
          <w:tcPr>
            <w:cnfStyle w:val="001000000000" w:firstRow="0" w:lastRow="0" w:firstColumn="1" w:lastColumn="0" w:oddVBand="0" w:evenVBand="0" w:oddHBand="0" w:evenHBand="0" w:firstRowFirstColumn="0" w:firstRowLastColumn="0" w:lastRowFirstColumn="0" w:lastRowLastColumn="0"/>
            <w:tcW w:w="3465" w:type="dxa"/>
          </w:tcPr>
          <w:p w:rsidR="000A6442" w:rsidRPr="002F3BB0" w:rsidRDefault="000A6442" w:rsidP="00437BD9">
            <w:pPr>
              <w:keepNext/>
              <w:keepLines/>
              <w:spacing w:before="40" w:after="40"/>
              <w:rPr>
                <w:rFonts w:cstheme="minorHAnsi"/>
                <w:i w:val="0"/>
                <w:sz w:val="22"/>
                <w:szCs w:val="22"/>
                <w:lang w:eastAsia="en-AU"/>
              </w:rPr>
            </w:pPr>
            <w:r w:rsidRPr="002F3BB0">
              <w:rPr>
                <w:rFonts w:cstheme="minorHAnsi"/>
                <w:i w:val="0"/>
                <w:sz w:val="22"/>
                <w:szCs w:val="22"/>
                <w:lang w:eastAsia="en-AU"/>
              </w:rPr>
              <w:t>Complaints finalised – accepted</w:t>
            </w:r>
          </w:p>
        </w:tc>
        <w:tc>
          <w:tcPr>
            <w:cnfStyle w:val="000010000000" w:firstRow="0" w:lastRow="0" w:firstColumn="0" w:lastColumn="0" w:oddVBand="1" w:evenVBand="0" w:oddHBand="0" w:evenHBand="0" w:firstRowFirstColumn="0" w:firstRowLastColumn="0" w:lastRowFirstColumn="0" w:lastRowLastColumn="0"/>
            <w:tcW w:w="1500" w:type="dxa"/>
          </w:tcPr>
          <w:p w:rsidR="000A6442" w:rsidRPr="002F3BB0" w:rsidRDefault="00E82950" w:rsidP="00437BD9">
            <w:pPr>
              <w:keepNext/>
              <w:keepLines/>
              <w:spacing w:before="40" w:after="40"/>
              <w:jc w:val="right"/>
              <w:rPr>
                <w:rFonts w:cstheme="minorHAnsi"/>
                <w:i w:val="0"/>
                <w:sz w:val="22"/>
                <w:szCs w:val="22"/>
                <w:lang w:eastAsia="en-AU"/>
              </w:rPr>
            </w:pPr>
            <w:r w:rsidRPr="002F3BB0">
              <w:rPr>
                <w:rFonts w:cstheme="minorHAnsi"/>
                <w:i w:val="0"/>
                <w:sz w:val="22"/>
                <w:szCs w:val="22"/>
                <w:lang w:eastAsia="en-AU"/>
              </w:rPr>
              <w:t>256</w:t>
            </w:r>
          </w:p>
        </w:tc>
        <w:tc>
          <w:tcPr>
            <w:tcW w:w="1097" w:type="dxa"/>
          </w:tcPr>
          <w:p w:rsidR="000A6442" w:rsidRPr="002F3BB0" w:rsidRDefault="00E82950" w:rsidP="00437BD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53</w:t>
            </w:r>
          </w:p>
        </w:tc>
        <w:tc>
          <w:tcPr>
            <w:cnfStyle w:val="000010000000" w:firstRow="0" w:lastRow="0" w:firstColumn="0" w:lastColumn="0" w:oddVBand="1" w:evenVBand="0" w:oddHBand="0" w:evenHBand="0" w:firstRowFirstColumn="0" w:firstRowLastColumn="0" w:lastRowFirstColumn="0" w:lastRowLastColumn="0"/>
            <w:tcW w:w="925" w:type="dxa"/>
          </w:tcPr>
          <w:p w:rsidR="000A6442" w:rsidRPr="002F3BB0" w:rsidRDefault="00E82950" w:rsidP="00437BD9">
            <w:pPr>
              <w:keepNext/>
              <w:keepLines/>
              <w:spacing w:before="40" w:after="40"/>
              <w:jc w:val="right"/>
              <w:rPr>
                <w:rFonts w:cstheme="minorHAnsi"/>
                <w:i w:val="0"/>
                <w:sz w:val="22"/>
                <w:szCs w:val="22"/>
                <w:lang w:eastAsia="en-AU"/>
              </w:rPr>
            </w:pPr>
            <w:r w:rsidRPr="002F3BB0">
              <w:rPr>
                <w:rFonts w:cstheme="minorHAnsi"/>
                <w:i w:val="0"/>
                <w:sz w:val="22"/>
                <w:szCs w:val="22"/>
                <w:lang w:eastAsia="en-AU"/>
              </w:rPr>
              <w:t>39</w:t>
            </w:r>
          </w:p>
        </w:tc>
        <w:tc>
          <w:tcPr>
            <w:tcW w:w="1236" w:type="dxa"/>
          </w:tcPr>
          <w:p w:rsidR="000A6442" w:rsidRPr="002F3BB0" w:rsidRDefault="00E82950" w:rsidP="00437BD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78</w:t>
            </w:r>
          </w:p>
        </w:tc>
        <w:tc>
          <w:tcPr>
            <w:cnfStyle w:val="000100000000" w:firstRow="0" w:lastRow="0" w:firstColumn="0" w:lastColumn="1" w:oddVBand="0" w:evenVBand="0" w:oddHBand="0" w:evenHBand="0" w:firstRowFirstColumn="0" w:firstRowLastColumn="0" w:lastRowFirstColumn="0" w:lastRowLastColumn="0"/>
            <w:tcW w:w="1346" w:type="dxa"/>
          </w:tcPr>
          <w:p w:rsidR="000A6442" w:rsidRPr="002F3BB0" w:rsidRDefault="00E82950" w:rsidP="00437BD9">
            <w:pPr>
              <w:keepNext/>
              <w:keepLines/>
              <w:spacing w:before="40" w:after="40"/>
              <w:jc w:val="right"/>
              <w:rPr>
                <w:rFonts w:cstheme="minorHAnsi"/>
                <w:b w:val="0"/>
                <w:i w:val="0"/>
                <w:sz w:val="22"/>
                <w:szCs w:val="22"/>
                <w:lang w:eastAsia="en-AU"/>
              </w:rPr>
            </w:pPr>
            <w:r w:rsidRPr="002F3BB0">
              <w:rPr>
                <w:rFonts w:cstheme="minorHAnsi"/>
                <w:b w:val="0"/>
                <w:i w:val="0"/>
                <w:sz w:val="22"/>
                <w:szCs w:val="22"/>
                <w:lang w:eastAsia="en-AU"/>
              </w:rPr>
              <w:t>426</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65" w:type="dxa"/>
          </w:tcPr>
          <w:p w:rsidR="000A6442" w:rsidRPr="002F3BB0" w:rsidRDefault="000A6442" w:rsidP="00437BD9">
            <w:pPr>
              <w:keepNext/>
              <w:keepLines/>
              <w:spacing w:before="40" w:after="40"/>
              <w:rPr>
                <w:rFonts w:cstheme="minorHAnsi"/>
                <w:i w:val="0"/>
                <w:sz w:val="22"/>
                <w:szCs w:val="22"/>
                <w:lang w:eastAsia="en-AU"/>
              </w:rPr>
            </w:pPr>
            <w:r w:rsidRPr="002F3BB0">
              <w:rPr>
                <w:rFonts w:cstheme="minorHAnsi"/>
                <w:i w:val="0"/>
                <w:sz w:val="22"/>
                <w:szCs w:val="22"/>
                <w:lang w:eastAsia="en-AU"/>
              </w:rPr>
              <w:t>Complaints finalised – not accepted</w:t>
            </w:r>
          </w:p>
        </w:tc>
        <w:tc>
          <w:tcPr>
            <w:cnfStyle w:val="000010000000" w:firstRow="0" w:lastRow="0" w:firstColumn="0" w:lastColumn="0" w:oddVBand="1" w:evenVBand="0" w:oddHBand="0" w:evenHBand="0" w:firstRowFirstColumn="0" w:firstRowLastColumn="0" w:lastRowFirstColumn="0" w:lastRowLastColumn="0"/>
            <w:tcW w:w="1500" w:type="dxa"/>
          </w:tcPr>
          <w:p w:rsidR="000A6442" w:rsidRPr="002F3BB0" w:rsidRDefault="00E82950" w:rsidP="00437BD9">
            <w:pPr>
              <w:keepNext/>
              <w:keepLines/>
              <w:spacing w:before="40" w:after="40"/>
              <w:jc w:val="right"/>
              <w:rPr>
                <w:rFonts w:cstheme="minorHAnsi"/>
                <w:i w:val="0"/>
                <w:sz w:val="22"/>
                <w:szCs w:val="22"/>
                <w:lang w:eastAsia="en-AU"/>
              </w:rPr>
            </w:pPr>
            <w:r w:rsidRPr="002F3BB0">
              <w:rPr>
                <w:rFonts w:cstheme="minorHAnsi"/>
                <w:i w:val="0"/>
                <w:sz w:val="22"/>
                <w:szCs w:val="22"/>
                <w:lang w:eastAsia="en-AU"/>
              </w:rPr>
              <w:t>163</w:t>
            </w:r>
          </w:p>
        </w:tc>
        <w:tc>
          <w:tcPr>
            <w:tcW w:w="1097" w:type="dxa"/>
          </w:tcPr>
          <w:p w:rsidR="000A6442" w:rsidRPr="002F3BB0" w:rsidRDefault="00E82950" w:rsidP="00437B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54</w:t>
            </w:r>
          </w:p>
        </w:tc>
        <w:tc>
          <w:tcPr>
            <w:cnfStyle w:val="000010000000" w:firstRow="0" w:lastRow="0" w:firstColumn="0" w:lastColumn="0" w:oddVBand="1" w:evenVBand="0" w:oddHBand="0" w:evenHBand="0" w:firstRowFirstColumn="0" w:firstRowLastColumn="0" w:lastRowFirstColumn="0" w:lastRowLastColumn="0"/>
            <w:tcW w:w="925" w:type="dxa"/>
          </w:tcPr>
          <w:p w:rsidR="000A6442" w:rsidRPr="002F3BB0" w:rsidRDefault="00E82950" w:rsidP="00437BD9">
            <w:pPr>
              <w:keepNext/>
              <w:keepLines/>
              <w:spacing w:before="40" w:after="40"/>
              <w:jc w:val="right"/>
              <w:rPr>
                <w:rFonts w:cstheme="minorHAnsi"/>
                <w:i w:val="0"/>
                <w:sz w:val="22"/>
                <w:szCs w:val="22"/>
                <w:lang w:eastAsia="en-AU"/>
              </w:rPr>
            </w:pPr>
            <w:r w:rsidRPr="002F3BB0">
              <w:rPr>
                <w:rFonts w:cstheme="minorHAnsi"/>
                <w:i w:val="0"/>
                <w:sz w:val="22"/>
                <w:szCs w:val="22"/>
                <w:lang w:eastAsia="en-AU"/>
              </w:rPr>
              <w:t>31</w:t>
            </w:r>
          </w:p>
        </w:tc>
        <w:tc>
          <w:tcPr>
            <w:tcW w:w="1236" w:type="dxa"/>
          </w:tcPr>
          <w:p w:rsidR="000A6442" w:rsidRPr="002F3BB0" w:rsidRDefault="00E82950" w:rsidP="00437BD9">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2F3BB0">
              <w:rPr>
                <w:rFonts w:cstheme="minorHAnsi"/>
                <w:i w:val="0"/>
                <w:sz w:val="22"/>
                <w:szCs w:val="22"/>
                <w:lang w:eastAsia="en-AU"/>
              </w:rPr>
              <w:t>24</w:t>
            </w:r>
          </w:p>
        </w:tc>
        <w:tc>
          <w:tcPr>
            <w:cnfStyle w:val="000100000000" w:firstRow="0" w:lastRow="0" w:firstColumn="0" w:lastColumn="1" w:oddVBand="0" w:evenVBand="0" w:oddHBand="0" w:evenHBand="0" w:firstRowFirstColumn="0" w:firstRowLastColumn="0" w:lastRowFirstColumn="0" w:lastRowLastColumn="0"/>
            <w:tcW w:w="1346" w:type="dxa"/>
          </w:tcPr>
          <w:p w:rsidR="000A6442" w:rsidRPr="002F3BB0" w:rsidRDefault="00E82950" w:rsidP="00437BD9">
            <w:pPr>
              <w:keepNext/>
              <w:keepLines/>
              <w:spacing w:before="40" w:after="40"/>
              <w:jc w:val="right"/>
              <w:rPr>
                <w:rFonts w:cstheme="minorHAnsi"/>
                <w:b w:val="0"/>
                <w:i w:val="0"/>
                <w:sz w:val="22"/>
                <w:szCs w:val="22"/>
                <w:lang w:eastAsia="en-AU"/>
              </w:rPr>
            </w:pPr>
            <w:r w:rsidRPr="002F3BB0">
              <w:rPr>
                <w:rFonts w:cstheme="minorHAnsi"/>
                <w:b w:val="0"/>
                <w:i w:val="0"/>
                <w:sz w:val="22"/>
                <w:szCs w:val="22"/>
                <w:lang w:eastAsia="en-AU"/>
              </w:rPr>
              <w:t>272</w:t>
            </w:r>
          </w:p>
        </w:tc>
      </w:tr>
      <w:tr w:rsidR="000A6442" w:rsidRPr="002F3BB0" w:rsidTr="00585B86">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465" w:type="dxa"/>
          </w:tcPr>
          <w:p w:rsidR="000A6442" w:rsidRPr="002F3BB0" w:rsidRDefault="000A6442" w:rsidP="00437BD9">
            <w:pPr>
              <w:keepNext/>
              <w:keepLines/>
              <w:spacing w:before="40" w:after="40"/>
              <w:rPr>
                <w:rFonts w:cstheme="minorHAnsi"/>
                <w:i w:val="0"/>
                <w:sz w:val="22"/>
                <w:szCs w:val="22"/>
                <w:lang w:eastAsia="en-AU"/>
              </w:rPr>
            </w:pPr>
            <w:r w:rsidRPr="002F3BB0">
              <w:rPr>
                <w:rFonts w:cstheme="minorHAnsi"/>
                <w:i w:val="0"/>
                <w:sz w:val="22"/>
                <w:szCs w:val="22"/>
                <w:lang w:eastAsia="en-AU"/>
              </w:rPr>
              <w:t>Total complaints finalised</w:t>
            </w:r>
          </w:p>
        </w:tc>
        <w:tc>
          <w:tcPr>
            <w:cnfStyle w:val="000010000000" w:firstRow="0" w:lastRow="0" w:firstColumn="0" w:lastColumn="0" w:oddVBand="1" w:evenVBand="0" w:oddHBand="0" w:evenHBand="0" w:firstRowFirstColumn="0" w:firstRowLastColumn="0" w:lastRowFirstColumn="0" w:lastRowLastColumn="0"/>
            <w:tcW w:w="1500" w:type="dxa"/>
          </w:tcPr>
          <w:p w:rsidR="000A6442" w:rsidRPr="002F3BB0" w:rsidRDefault="00E82950" w:rsidP="00437BD9">
            <w:pPr>
              <w:keepNext/>
              <w:keepLines/>
              <w:spacing w:before="40" w:after="40"/>
              <w:jc w:val="right"/>
              <w:rPr>
                <w:rFonts w:cstheme="minorHAnsi"/>
                <w:b w:val="0"/>
                <w:i w:val="0"/>
                <w:sz w:val="22"/>
                <w:szCs w:val="22"/>
                <w:lang w:eastAsia="en-AU"/>
              </w:rPr>
            </w:pPr>
            <w:r w:rsidRPr="002F3BB0">
              <w:rPr>
                <w:rFonts w:cstheme="minorHAnsi"/>
                <w:b w:val="0"/>
                <w:i w:val="0"/>
                <w:sz w:val="22"/>
                <w:szCs w:val="22"/>
                <w:lang w:eastAsia="en-AU"/>
              </w:rPr>
              <w:t>419</w:t>
            </w:r>
          </w:p>
        </w:tc>
        <w:tc>
          <w:tcPr>
            <w:tcW w:w="1097" w:type="dxa"/>
          </w:tcPr>
          <w:p w:rsidR="000A6442" w:rsidRPr="002F3BB0" w:rsidRDefault="00E82950" w:rsidP="00437BD9">
            <w:pPr>
              <w:keepNext/>
              <w:keepLines/>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b w:val="0"/>
                <w:i w:val="0"/>
                <w:sz w:val="22"/>
                <w:szCs w:val="22"/>
                <w:lang w:eastAsia="en-AU"/>
              </w:rPr>
            </w:pPr>
            <w:r w:rsidRPr="002F3BB0">
              <w:rPr>
                <w:rFonts w:cstheme="minorHAnsi"/>
                <w:b w:val="0"/>
                <w:i w:val="0"/>
                <w:sz w:val="22"/>
                <w:szCs w:val="22"/>
                <w:lang w:eastAsia="en-AU"/>
              </w:rPr>
              <w:t>107</w:t>
            </w:r>
          </w:p>
        </w:tc>
        <w:tc>
          <w:tcPr>
            <w:cnfStyle w:val="000010000000" w:firstRow="0" w:lastRow="0" w:firstColumn="0" w:lastColumn="0" w:oddVBand="1" w:evenVBand="0" w:oddHBand="0" w:evenHBand="0" w:firstRowFirstColumn="0" w:firstRowLastColumn="0" w:lastRowFirstColumn="0" w:lastRowLastColumn="0"/>
            <w:tcW w:w="925" w:type="dxa"/>
          </w:tcPr>
          <w:p w:rsidR="000A6442" w:rsidRPr="002F3BB0" w:rsidRDefault="00E82950" w:rsidP="00437BD9">
            <w:pPr>
              <w:keepNext/>
              <w:keepLines/>
              <w:spacing w:before="40" w:after="40"/>
              <w:jc w:val="right"/>
              <w:rPr>
                <w:rFonts w:cstheme="minorHAnsi"/>
                <w:b w:val="0"/>
                <w:i w:val="0"/>
                <w:sz w:val="22"/>
                <w:szCs w:val="22"/>
                <w:lang w:eastAsia="en-AU"/>
              </w:rPr>
            </w:pPr>
            <w:r w:rsidRPr="002F3BB0">
              <w:rPr>
                <w:rFonts w:cstheme="minorHAnsi"/>
                <w:b w:val="0"/>
                <w:i w:val="0"/>
                <w:sz w:val="22"/>
                <w:szCs w:val="22"/>
                <w:lang w:eastAsia="en-AU"/>
              </w:rPr>
              <w:t>70</w:t>
            </w:r>
          </w:p>
        </w:tc>
        <w:tc>
          <w:tcPr>
            <w:tcW w:w="1236" w:type="dxa"/>
          </w:tcPr>
          <w:p w:rsidR="000A6442" w:rsidRPr="002F3BB0" w:rsidRDefault="00E82950" w:rsidP="00437BD9">
            <w:pPr>
              <w:keepNext/>
              <w:keepLines/>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b w:val="0"/>
                <w:i w:val="0"/>
                <w:sz w:val="22"/>
                <w:szCs w:val="22"/>
                <w:lang w:eastAsia="en-AU"/>
              </w:rPr>
            </w:pPr>
            <w:r w:rsidRPr="002F3BB0">
              <w:rPr>
                <w:rFonts w:cstheme="minorHAnsi"/>
                <w:b w:val="0"/>
                <w:i w:val="0"/>
                <w:sz w:val="22"/>
                <w:szCs w:val="22"/>
                <w:lang w:eastAsia="en-AU"/>
              </w:rPr>
              <w:t>102</w:t>
            </w:r>
          </w:p>
        </w:tc>
        <w:tc>
          <w:tcPr>
            <w:cnfStyle w:val="000100000000" w:firstRow="0" w:lastRow="0" w:firstColumn="0" w:lastColumn="1" w:oddVBand="0" w:evenVBand="0" w:oddHBand="0" w:evenHBand="0" w:firstRowFirstColumn="0" w:firstRowLastColumn="0" w:lastRowFirstColumn="0" w:lastRowLastColumn="0"/>
            <w:tcW w:w="1346" w:type="dxa"/>
          </w:tcPr>
          <w:p w:rsidR="000A6442" w:rsidRPr="002F3BB0" w:rsidRDefault="00E82950" w:rsidP="00437BD9">
            <w:pPr>
              <w:keepNext/>
              <w:keepLines/>
              <w:spacing w:before="40" w:after="40"/>
              <w:jc w:val="right"/>
              <w:rPr>
                <w:rFonts w:cstheme="minorHAnsi"/>
                <w:b w:val="0"/>
                <w:i w:val="0"/>
                <w:sz w:val="22"/>
                <w:szCs w:val="22"/>
                <w:lang w:eastAsia="en-AU"/>
              </w:rPr>
            </w:pPr>
            <w:r w:rsidRPr="002F3BB0">
              <w:rPr>
                <w:rFonts w:cstheme="minorHAnsi"/>
                <w:b w:val="0"/>
                <w:i w:val="0"/>
                <w:sz w:val="22"/>
                <w:szCs w:val="22"/>
                <w:lang w:eastAsia="en-AU"/>
              </w:rPr>
              <w:t>698</w:t>
            </w:r>
          </w:p>
        </w:tc>
      </w:tr>
    </w:tbl>
    <w:p w:rsidR="00E82950" w:rsidRPr="002F3BB0" w:rsidRDefault="00E82950" w:rsidP="00FB682C">
      <w:pPr>
        <w:pStyle w:val="Caption"/>
        <w:keepNext/>
        <w:rPr>
          <w:color w:val="595959" w:themeColor="accent2" w:themeShade="80"/>
          <w:sz w:val="22"/>
        </w:rPr>
      </w:pPr>
    </w:p>
    <w:p w:rsidR="00425BA7" w:rsidRDefault="00425BA7">
      <w:pPr>
        <w:rPr>
          <w:rFonts w:ascii="Arial" w:hAnsi="Arial" w:cs="Arial"/>
          <w:i w:val="0"/>
          <w:sz w:val="22"/>
          <w:lang w:eastAsia="en-AU"/>
        </w:rPr>
      </w:pPr>
      <w:r>
        <w:rPr>
          <w:rFonts w:ascii="Arial" w:hAnsi="Arial" w:cs="Arial"/>
          <w:i w:val="0"/>
          <w:sz w:val="22"/>
          <w:lang w:eastAsia="en-AU"/>
        </w:rPr>
        <w:br w:type="page"/>
      </w:r>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i w:val="0"/>
          <w:sz w:val="22"/>
          <w:lang w:eastAsia="en-AU"/>
        </w:rPr>
        <w:lastRenderedPageBreak/>
        <w:t>Complaint trends generally follow the pattern of complaints accepted in previous years</w:t>
      </w:r>
      <w:r w:rsidR="00371A03">
        <w:rPr>
          <w:rFonts w:ascii="Arial" w:hAnsi="Arial" w:cs="Arial"/>
          <w:i w:val="0"/>
          <w:sz w:val="22"/>
          <w:lang w:eastAsia="en-AU"/>
        </w:rPr>
        <w:t xml:space="preserve">, and </w:t>
      </w:r>
      <w:r w:rsidRPr="002F3BB0">
        <w:rPr>
          <w:rFonts w:ascii="Arial" w:hAnsi="Arial" w:cs="Arial"/>
          <w:i w:val="0"/>
          <w:sz w:val="22"/>
          <w:lang w:eastAsia="en-AU"/>
        </w:rPr>
        <w:t>are commonly accepted on more than one ground under th</w:t>
      </w:r>
      <w:r w:rsidR="009A4581">
        <w:rPr>
          <w:rFonts w:ascii="Arial" w:hAnsi="Arial" w:cs="Arial"/>
          <w:i w:val="0"/>
          <w:sz w:val="22"/>
          <w:lang w:eastAsia="en-AU"/>
        </w:rPr>
        <w:t>e Act.</w:t>
      </w:r>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i w:val="0"/>
          <w:sz w:val="22"/>
          <w:lang w:eastAsia="en-AU"/>
        </w:rPr>
        <w:t xml:space="preserve">Discrimination complaints involve allegations of less favourable treatment based on an irrelevant attribute which arise in an area of public life covered by the law, such as at work, in accommodation, in education and in obtaining goods and services </w:t>
      </w:r>
      <w:r w:rsidR="0052062B">
        <w:rPr>
          <w:rFonts w:ascii="Arial" w:hAnsi="Arial" w:cs="Arial"/>
          <w:i w:val="0"/>
          <w:sz w:val="22"/>
          <w:lang w:eastAsia="en-AU"/>
        </w:rPr>
        <w:t>(</w:t>
      </w:r>
      <w:r w:rsidRPr="002F3BB0">
        <w:rPr>
          <w:rFonts w:ascii="Arial" w:hAnsi="Arial" w:cs="Arial"/>
          <w:i w:val="0"/>
          <w:sz w:val="22"/>
          <w:lang w:eastAsia="en-AU"/>
        </w:rPr>
        <w:t>including government services</w:t>
      </w:r>
      <w:r w:rsidR="0052062B">
        <w:rPr>
          <w:rFonts w:ascii="Arial" w:hAnsi="Arial" w:cs="Arial"/>
          <w:i w:val="0"/>
          <w:sz w:val="22"/>
          <w:lang w:eastAsia="en-AU"/>
        </w:rPr>
        <w:t>)</w:t>
      </w:r>
      <w:r w:rsidRPr="002F3BB0">
        <w:rPr>
          <w:rFonts w:ascii="Arial" w:hAnsi="Arial" w:cs="Arial"/>
          <w:i w:val="0"/>
          <w:sz w:val="22"/>
          <w:lang w:eastAsia="en-AU"/>
        </w:rPr>
        <w:t xml:space="preserve">. As shown in Table </w:t>
      </w:r>
      <w:r w:rsidR="0052062B">
        <w:rPr>
          <w:rFonts w:ascii="Arial" w:hAnsi="Arial" w:cs="Arial"/>
          <w:i w:val="0"/>
          <w:sz w:val="22"/>
          <w:lang w:eastAsia="en-AU"/>
        </w:rPr>
        <w:t>9</w:t>
      </w:r>
      <w:r w:rsidRPr="002F3BB0">
        <w:rPr>
          <w:rFonts w:ascii="Arial" w:hAnsi="Arial" w:cs="Arial"/>
          <w:i w:val="0"/>
          <w:sz w:val="22"/>
          <w:lang w:eastAsia="en-AU"/>
        </w:rPr>
        <w:t>, allegations of discrimination are included in 71.5% of accepted complaints whic</w:t>
      </w:r>
      <w:r w:rsidR="009A4581">
        <w:rPr>
          <w:rFonts w:ascii="Arial" w:hAnsi="Arial" w:cs="Arial"/>
          <w:i w:val="0"/>
          <w:sz w:val="22"/>
          <w:lang w:eastAsia="en-AU"/>
        </w:rPr>
        <w:t>h is consistent with last year.</w:t>
      </w:r>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i w:val="0"/>
          <w:sz w:val="22"/>
          <w:lang w:eastAsia="en-AU"/>
        </w:rPr>
        <w:t xml:space="preserve">The breakdown of the attributes on which allegations of discrimination are made in Table </w:t>
      </w:r>
      <w:r w:rsidR="0052062B">
        <w:rPr>
          <w:rFonts w:ascii="Arial" w:hAnsi="Arial" w:cs="Arial"/>
          <w:i w:val="0"/>
          <w:sz w:val="22"/>
          <w:lang w:eastAsia="en-AU"/>
        </w:rPr>
        <w:t>9</w:t>
      </w:r>
      <w:r w:rsidRPr="002F3BB0">
        <w:rPr>
          <w:rFonts w:ascii="Arial" w:hAnsi="Arial" w:cs="Arial"/>
          <w:i w:val="0"/>
          <w:sz w:val="22"/>
          <w:lang w:eastAsia="en-AU"/>
        </w:rPr>
        <w:t xml:space="preserve"> clearly shows that discrimination on the basis of impairment remains the dominant ground, comprising 25.8% of all complaints. This is consistent with previous years. Race and sex discrimination allegations also remain significant</w:t>
      </w:r>
      <w:r w:rsidR="0052062B">
        <w:rPr>
          <w:rFonts w:ascii="Arial" w:hAnsi="Arial" w:cs="Arial"/>
          <w:i w:val="0"/>
          <w:sz w:val="22"/>
          <w:lang w:eastAsia="en-AU"/>
        </w:rPr>
        <w:t>,</w:t>
      </w:r>
      <w:r w:rsidRPr="002F3BB0">
        <w:rPr>
          <w:rFonts w:ascii="Arial" w:hAnsi="Arial" w:cs="Arial"/>
          <w:i w:val="0"/>
          <w:sz w:val="22"/>
          <w:lang w:eastAsia="en-AU"/>
        </w:rPr>
        <w:t xml:space="preserve"> with each comprising 11.3% and 9.2% </w:t>
      </w:r>
      <w:r w:rsidR="0052062B">
        <w:rPr>
          <w:rFonts w:ascii="Arial" w:hAnsi="Arial" w:cs="Arial"/>
          <w:i w:val="0"/>
          <w:sz w:val="22"/>
          <w:lang w:eastAsia="en-AU"/>
        </w:rPr>
        <w:t xml:space="preserve">respectively </w:t>
      </w:r>
      <w:r w:rsidRPr="002F3BB0">
        <w:rPr>
          <w:rFonts w:ascii="Arial" w:hAnsi="Arial" w:cs="Arial"/>
          <w:i w:val="0"/>
          <w:sz w:val="22"/>
          <w:lang w:eastAsia="en-AU"/>
        </w:rPr>
        <w:t>of discrimination complaints, followed by family responsibilities, ag</w:t>
      </w:r>
      <w:r w:rsidR="009A4581">
        <w:rPr>
          <w:rFonts w:ascii="Arial" w:hAnsi="Arial" w:cs="Arial"/>
          <w:i w:val="0"/>
          <w:sz w:val="22"/>
          <w:lang w:eastAsia="en-AU"/>
        </w:rPr>
        <w:t>e and pregnancy discrimination.</w:t>
      </w:r>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i w:val="0"/>
          <w:sz w:val="22"/>
          <w:lang w:eastAsia="en-AU"/>
        </w:rPr>
        <w:t>Impairment discrimination continues to dominate complaints in the workplace. Table 1</w:t>
      </w:r>
      <w:r w:rsidR="0052062B">
        <w:rPr>
          <w:rFonts w:ascii="Arial" w:hAnsi="Arial" w:cs="Arial"/>
          <w:i w:val="0"/>
          <w:sz w:val="22"/>
          <w:lang w:eastAsia="en-AU"/>
        </w:rPr>
        <w:t>1</w:t>
      </w:r>
      <w:r w:rsidRPr="002F3BB0">
        <w:rPr>
          <w:rFonts w:ascii="Arial" w:hAnsi="Arial" w:cs="Arial"/>
          <w:i w:val="0"/>
          <w:sz w:val="22"/>
          <w:lang w:eastAsia="en-AU"/>
        </w:rPr>
        <w:t xml:space="preserve"> shows that 60.8% of impairment discrimination complaints arise at work. Impairment discrimination complaints arising at work include allegations of the failure of employers to make reasonable adjustments to accommodate a person’s disability</w:t>
      </w:r>
      <w:r w:rsidR="0052062B">
        <w:rPr>
          <w:rFonts w:ascii="Arial" w:hAnsi="Arial" w:cs="Arial"/>
          <w:i w:val="0"/>
          <w:sz w:val="22"/>
          <w:lang w:eastAsia="en-AU"/>
        </w:rPr>
        <w:t>;</w:t>
      </w:r>
      <w:r w:rsidRPr="002F3BB0">
        <w:rPr>
          <w:rFonts w:ascii="Arial" w:hAnsi="Arial" w:cs="Arial"/>
          <w:i w:val="0"/>
          <w:sz w:val="22"/>
          <w:lang w:eastAsia="en-AU"/>
        </w:rPr>
        <w:t xml:space="preserve"> disability based bullying</w:t>
      </w:r>
      <w:r w:rsidR="0052062B">
        <w:rPr>
          <w:rFonts w:ascii="Arial" w:hAnsi="Arial" w:cs="Arial"/>
          <w:i w:val="0"/>
          <w:sz w:val="22"/>
          <w:lang w:eastAsia="en-AU"/>
        </w:rPr>
        <w:t>;</w:t>
      </w:r>
      <w:r w:rsidRPr="002F3BB0">
        <w:rPr>
          <w:rFonts w:ascii="Arial" w:hAnsi="Arial" w:cs="Arial"/>
          <w:i w:val="0"/>
          <w:sz w:val="22"/>
          <w:lang w:eastAsia="en-AU"/>
        </w:rPr>
        <w:t xml:space="preserve"> unfair treatment</w:t>
      </w:r>
      <w:r w:rsidR="0052062B">
        <w:rPr>
          <w:rFonts w:ascii="Arial" w:hAnsi="Arial" w:cs="Arial"/>
          <w:i w:val="0"/>
          <w:sz w:val="22"/>
          <w:lang w:eastAsia="en-AU"/>
        </w:rPr>
        <w:t>;</w:t>
      </w:r>
      <w:r w:rsidRPr="002F3BB0">
        <w:rPr>
          <w:rFonts w:ascii="Arial" w:hAnsi="Arial" w:cs="Arial"/>
          <w:i w:val="0"/>
          <w:sz w:val="22"/>
          <w:lang w:eastAsia="en-AU"/>
        </w:rPr>
        <w:t xml:space="preserve"> demotion and termination because of impairment or the impact of impairme</w:t>
      </w:r>
      <w:r w:rsidR="009A4581">
        <w:rPr>
          <w:rFonts w:ascii="Arial" w:hAnsi="Arial" w:cs="Arial"/>
          <w:i w:val="0"/>
          <w:sz w:val="22"/>
          <w:lang w:eastAsia="en-AU"/>
        </w:rPr>
        <w:t>nt, even where it is temporary.</w:t>
      </w:r>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i w:val="0"/>
          <w:sz w:val="22"/>
          <w:lang w:eastAsia="en-AU"/>
        </w:rPr>
        <w:t>As seen in Table 1</w:t>
      </w:r>
      <w:r w:rsidR="0052062B">
        <w:rPr>
          <w:rFonts w:ascii="Arial" w:hAnsi="Arial" w:cs="Arial"/>
          <w:i w:val="0"/>
          <w:sz w:val="22"/>
          <w:lang w:eastAsia="en-AU"/>
        </w:rPr>
        <w:t>1</w:t>
      </w:r>
      <w:r w:rsidRPr="002F3BB0">
        <w:rPr>
          <w:rFonts w:ascii="Arial" w:hAnsi="Arial" w:cs="Arial"/>
          <w:i w:val="0"/>
          <w:sz w:val="22"/>
          <w:lang w:eastAsia="en-AU"/>
        </w:rPr>
        <w:t>, a further 19.8% of impairment complaints arise in connection with the provision of goods and services. Allegation</w:t>
      </w:r>
      <w:r w:rsidR="006A7766" w:rsidRPr="002F3BB0">
        <w:rPr>
          <w:rFonts w:ascii="Arial" w:hAnsi="Arial" w:cs="Arial"/>
          <w:i w:val="0"/>
          <w:sz w:val="22"/>
          <w:lang w:eastAsia="en-AU"/>
        </w:rPr>
        <w:t>s of impairment discrimination i</w:t>
      </w:r>
      <w:r w:rsidRPr="002F3BB0">
        <w:rPr>
          <w:rFonts w:ascii="Arial" w:hAnsi="Arial" w:cs="Arial"/>
          <w:i w:val="0"/>
          <w:sz w:val="22"/>
          <w:lang w:eastAsia="en-AU"/>
        </w:rPr>
        <w:t>n the provision of goods and services commonly include allegations of exclusion based on impairment, including access to premises or places for a person with mobility impairment.</w:t>
      </w:r>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i w:val="0"/>
          <w:sz w:val="22"/>
          <w:lang w:eastAsia="en-AU"/>
        </w:rPr>
        <w:t xml:space="preserve">Table </w:t>
      </w:r>
      <w:r w:rsidR="0052062B">
        <w:rPr>
          <w:rFonts w:ascii="Arial" w:hAnsi="Arial" w:cs="Arial"/>
          <w:i w:val="0"/>
          <w:sz w:val="22"/>
          <w:lang w:eastAsia="en-AU"/>
        </w:rPr>
        <w:t>9</w:t>
      </w:r>
      <w:r w:rsidRPr="002F3BB0">
        <w:rPr>
          <w:rFonts w:ascii="Arial" w:hAnsi="Arial" w:cs="Arial"/>
          <w:i w:val="0"/>
          <w:sz w:val="22"/>
          <w:lang w:eastAsia="en-AU"/>
        </w:rPr>
        <w:t xml:space="preserve"> shows that sexual harassment allegations of unwelcome sexual behaviour to or about a </w:t>
      </w:r>
      <w:proofErr w:type="gramStart"/>
      <w:r w:rsidRPr="002F3BB0">
        <w:rPr>
          <w:rFonts w:ascii="Arial" w:hAnsi="Arial" w:cs="Arial"/>
          <w:i w:val="0"/>
          <w:sz w:val="22"/>
          <w:lang w:eastAsia="en-AU"/>
        </w:rPr>
        <w:t>complainant,</w:t>
      </w:r>
      <w:proofErr w:type="gramEnd"/>
      <w:r w:rsidRPr="002F3BB0">
        <w:rPr>
          <w:rFonts w:ascii="Arial" w:hAnsi="Arial" w:cs="Arial"/>
          <w:i w:val="0"/>
          <w:sz w:val="22"/>
          <w:lang w:eastAsia="en-AU"/>
        </w:rPr>
        <w:t xml:space="preserve"> are included in 10.9% of accepted complaints, which is a slight increase from 9.7% from last year. The vast majority (79.7%) of complaints of sexual harassment arise in the workplace, as can be seen from Table 1</w:t>
      </w:r>
      <w:r w:rsidR="0052062B">
        <w:rPr>
          <w:rFonts w:ascii="Arial" w:hAnsi="Arial" w:cs="Arial"/>
          <w:i w:val="0"/>
          <w:sz w:val="22"/>
          <w:lang w:eastAsia="en-AU"/>
        </w:rPr>
        <w:t>0</w:t>
      </w:r>
      <w:r w:rsidR="009A4581">
        <w:rPr>
          <w:rFonts w:ascii="Arial" w:hAnsi="Arial" w:cs="Arial"/>
          <w:i w:val="0"/>
          <w:sz w:val="22"/>
          <w:lang w:eastAsia="en-AU"/>
        </w:rPr>
        <w:t>.</w:t>
      </w:r>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i w:val="0"/>
          <w:sz w:val="22"/>
          <w:lang w:eastAsia="en-AU"/>
        </w:rPr>
        <w:t>Sexual harassment continues to remain a substantial reason for complaint</w:t>
      </w:r>
      <w:r w:rsidR="0052062B">
        <w:rPr>
          <w:rFonts w:ascii="Arial" w:hAnsi="Arial" w:cs="Arial"/>
          <w:i w:val="0"/>
          <w:sz w:val="22"/>
          <w:lang w:eastAsia="en-AU"/>
        </w:rPr>
        <w:t>;</w:t>
      </w:r>
      <w:r w:rsidRPr="002F3BB0">
        <w:rPr>
          <w:rFonts w:ascii="Arial" w:hAnsi="Arial" w:cs="Arial"/>
          <w:i w:val="0"/>
          <w:sz w:val="22"/>
          <w:lang w:eastAsia="en-AU"/>
        </w:rPr>
        <w:t xml:space="preserve"> and complaints of sexual harassment continue to allege serious and destructive behaviours, particularly by men toward women at work. Sexual harassment complaints may involve allegations of unwelcome sexual behaviour such as comments about a person’s body and/or sex life, telling </w:t>
      </w:r>
      <w:r w:rsidR="003243FE">
        <w:rPr>
          <w:rFonts w:ascii="Arial" w:hAnsi="Arial" w:cs="Arial"/>
          <w:i w:val="0"/>
          <w:sz w:val="22"/>
          <w:lang w:eastAsia="en-AU"/>
        </w:rPr>
        <w:t xml:space="preserve">obscene </w:t>
      </w:r>
      <w:r w:rsidRPr="002F3BB0">
        <w:rPr>
          <w:rFonts w:ascii="Arial" w:hAnsi="Arial" w:cs="Arial"/>
          <w:i w:val="0"/>
          <w:sz w:val="22"/>
          <w:lang w:eastAsia="en-AU"/>
        </w:rPr>
        <w:t>jokes, requests for sex, sending sexualised emails and texts, showing pornographic pictures and/or videos, sexual assault and even rape. The nature and number of sexual harassment complaints indicates that many people still do not accept that sexual harassment has</w:t>
      </w:r>
      <w:r w:rsidR="009A4581">
        <w:rPr>
          <w:rFonts w:ascii="Arial" w:hAnsi="Arial" w:cs="Arial"/>
          <w:i w:val="0"/>
          <w:sz w:val="22"/>
          <w:lang w:eastAsia="en-AU"/>
        </w:rPr>
        <w:t xml:space="preserve"> no place in today’s workplace.</w:t>
      </w:r>
    </w:p>
    <w:p w:rsidR="00E82950" w:rsidRPr="002F3BB0" w:rsidRDefault="00E82950" w:rsidP="00425BA7">
      <w:pPr>
        <w:spacing w:before="120" w:after="240" w:line="240" w:lineRule="auto"/>
        <w:rPr>
          <w:rFonts w:ascii="Arial" w:hAnsi="Arial" w:cs="Arial"/>
          <w:i w:val="0"/>
          <w:sz w:val="22"/>
          <w:lang w:eastAsia="en-AU"/>
        </w:rPr>
      </w:pPr>
      <w:r w:rsidRPr="002F3BB0">
        <w:rPr>
          <w:rFonts w:ascii="Arial" w:hAnsi="Arial" w:cs="Arial"/>
          <w:i w:val="0"/>
          <w:sz w:val="22"/>
          <w:lang w:eastAsia="en-AU"/>
        </w:rPr>
        <w:t xml:space="preserve">Victimisation complaints arise where a complainant or witness feels they have been picked on for being involved in a complaint. Victimisation complaints remain at last year’s high levels at </w:t>
      </w:r>
      <w:r w:rsidR="00CA33CA">
        <w:rPr>
          <w:rFonts w:ascii="Arial" w:hAnsi="Arial" w:cs="Arial"/>
          <w:i w:val="0"/>
          <w:sz w:val="22"/>
          <w:lang w:eastAsia="en-AU"/>
        </w:rPr>
        <w:t>8.4%</w:t>
      </w:r>
      <w:r w:rsidRPr="002F3BB0">
        <w:rPr>
          <w:rFonts w:ascii="Arial" w:hAnsi="Arial" w:cs="Arial"/>
          <w:i w:val="0"/>
          <w:sz w:val="22"/>
          <w:lang w:eastAsia="en-AU"/>
        </w:rPr>
        <w:t>. As shown in Table 1</w:t>
      </w:r>
      <w:r w:rsidR="007F3EC5">
        <w:rPr>
          <w:rFonts w:ascii="Arial" w:hAnsi="Arial" w:cs="Arial"/>
          <w:i w:val="0"/>
          <w:sz w:val="22"/>
          <w:lang w:eastAsia="en-AU"/>
        </w:rPr>
        <w:t>0</w:t>
      </w:r>
      <w:r w:rsidRPr="002F3BB0">
        <w:rPr>
          <w:rFonts w:ascii="Arial" w:hAnsi="Arial" w:cs="Arial"/>
          <w:i w:val="0"/>
          <w:sz w:val="22"/>
          <w:lang w:eastAsia="en-AU"/>
        </w:rPr>
        <w:t xml:space="preserve">, 70.9% of victimisation complaints arose in the workplace, which is a significant increase on the 61% last year. Because of the continuing relationship between </w:t>
      </w:r>
      <w:r w:rsidR="007F3EC5">
        <w:rPr>
          <w:rFonts w:ascii="Arial" w:hAnsi="Arial" w:cs="Arial"/>
          <w:i w:val="0"/>
          <w:sz w:val="22"/>
          <w:lang w:eastAsia="en-AU"/>
        </w:rPr>
        <w:t>an</w:t>
      </w:r>
      <w:r w:rsidRPr="002F3BB0">
        <w:rPr>
          <w:rFonts w:ascii="Arial" w:hAnsi="Arial" w:cs="Arial"/>
          <w:i w:val="0"/>
          <w:sz w:val="22"/>
          <w:lang w:eastAsia="en-AU"/>
        </w:rPr>
        <w:t xml:space="preserve"> employer and their employees, there is more opportunity for victimisation complaints to arise after a person makes an initial complaint at work, compared to other areas. Fear of victimisation is also a reason why complainants are sometimes reluctant to lodge complaints until after they leave the workplace, or at all.</w:t>
      </w:r>
    </w:p>
    <w:p w:rsidR="00E82950" w:rsidRPr="002F3BB0" w:rsidRDefault="00E82950" w:rsidP="00425BA7">
      <w:pPr>
        <w:keepNext/>
        <w:keepLines/>
        <w:spacing w:before="120" w:after="240" w:line="240" w:lineRule="auto"/>
        <w:rPr>
          <w:rFonts w:ascii="Arial" w:hAnsi="Arial" w:cs="Arial"/>
          <w:i w:val="0"/>
          <w:sz w:val="22"/>
          <w:lang w:eastAsia="en-AU"/>
        </w:rPr>
      </w:pPr>
      <w:r w:rsidRPr="002F3BB0">
        <w:rPr>
          <w:rFonts w:ascii="Arial" w:hAnsi="Arial" w:cs="Arial"/>
          <w:i w:val="0"/>
          <w:sz w:val="22"/>
          <w:lang w:eastAsia="en-AU"/>
        </w:rPr>
        <w:t xml:space="preserve">Vilification complaints require that the complainant alleges that others have been publicly encouraged to hate, severely ridicule or have severe contempt </w:t>
      </w:r>
      <w:r w:rsidR="009B0CDA">
        <w:rPr>
          <w:rFonts w:ascii="Arial" w:hAnsi="Arial" w:cs="Arial"/>
          <w:i w:val="0"/>
          <w:sz w:val="22"/>
          <w:lang w:eastAsia="en-AU"/>
        </w:rPr>
        <w:t xml:space="preserve">for </w:t>
      </w:r>
      <w:r w:rsidRPr="002F3BB0">
        <w:rPr>
          <w:rFonts w:ascii="Arial" w:hAnsi="Arial" w:cs="Arial"/>
          <w:i w:val="0"/>
          <w:sz w:val="22"/>
          <w:lang w:eastAsia="en-AU"/>
        </w:rPr>
        <w:t xml:space="preserve">them because of their race, religion, sexuality or gender identity. Public vilification complaints remain low with only 1.9% of accepted complaints including allegations of race, sexuality or religious vilification. As shown in Table </w:t>
      </w:r>
      <w:r w:rsidR="008B35A3">
        <w:rPr>
          <w:rFonts w:ascii="Arial" w:hAnsi="Arial" w:cs="Arial"/>
          <w:i w:val="0"/>
          <w:sz w:val="22"/>
          <w:lang w:eastAsia="en-AU"/>
        </w:rPr>
        <w:t>9</w:t>
      </w:r>
      <w:r w:rsidRPr="002F3BB0">
        <w:rPr>
          <w:rFonts w:ascii="Arial" w:hAnsi="Arial" w:cs="Arial"/>
          <w:i w:val="0"/>
          <w:sz w:val="22"/>
          <w:lang w:eastAsia="en-AU"/>
        </w:rPr>
        <w:t>, the majority of these involved allegations of sexuality vilification and no complaints of vilification on the basis of gender id</w:t>
      </w:r>
      <w:r w:rsidR="009A4581">
        <w:rPr>
          <w:rFonts w:ascii="Arial" w:hAnsi="Arial" w:cs="Arial"/>
          <w:i w:val="0"/>
          <w:sz w:val="22"/>
          <w:lang w:eastAsia="en-AU"/>
        </w:rPr>
        <w:t>entity were received this year.</w:t>
      </w:r>
    </w:p>
    <w:p w:rsidR="005820B8" w:rsidRDefault="005820B8">
      <w:pPr>
        <w:rPr>
          <w:b/>
          <w:bCs/>
          <w:color w:val="595959" w:themeColor="accent2" w:themeShade="80"/>
          <w:sz w:val="22"/>
          <w:szCs w:val="18"/>
        </w:rPr>
      </w:pPr>
      <w:r>
        <w:rPr>
          <w:color w:val="595959" w:themeColor="accent2" w:themeShade="80"/>
          <w:sz w:val="22"/>
        </w:rPr>
        <w:br w:type="page"/>
      </w:r>
    </w:p>
    <w:p w:rsidR="00FB682C" w:rsidRPr="002F3BB0" w:rsidRDefault="00FB682C" w:rsidP="00FD3E25">
      <w:pPr>
        <w:pStyle w:val="Heading3"/>
      </w:pPr>
      <w:r w:rsidRPr="002F3BB0">
        <w:lastRenderedPageBreak/>
        <w:t xml:space="preserve">Table </w:t>
      </w:r>
      <w:r w:rsidR="0033101E">
        <w:t>9:</w:t>
      </w:r>
      <w:r w:rsidRPr="002F3BB0">
        <w:t xml:space="preserve"> State-wide accepted complaints by ground</w:t>
      </w:r>
    </w:p>
    <w:tbl>
      <w:tblPr>
        <w:tblStyle w:val="LightList-Accent5"/>
        <w:tblW w:w="0" w:type="auto"/>
        <w:tblLayout w:type="fixed"/>
        <w:tblLook w:val="01E0" w:firstRow="1" w:lastRow="1" w:firstColumn="1" w:lastColumn="1" w:noHBand="0" w:noVBand="0"/>
        <w:tblDescription w:val="State wide accepted complaints by ground"/>
      </w:tblPr>
      <w:tblGrid>
        <w:gridCol w:w="4923"/>
        <w:gridCol w:w="1377"/>
        <w:gridCol w:w="1296"/>
      </w:tblGrid>
      <w:tr w:rsidR="000A6442" w:rsidRPr="002F3BB0" w:rsidTr="007447D3">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4923" w:type="dxa"/>
          </w:tcPr>
          <w:p w:rsidR="000A6442" w:rsidRPr="00A5281C" w:rsidRDefault="000A6442" w:rsidP="00BF076D">
            <w:pPr>
              <w:widowControl w:val="0"/>
              <w:spacing w:before="20" w:after="20"/>
              <w:rPr>
                <w:rFonts w:cstheme="minorHAnsi"/>
                <w:b w:val="0"/>
                <w:i w:val="0"/>
                <w:sz w:val="21"/>
                <w:szCs w:val="21"/>
              </w:rPr>
            </w:pPr>
            <w:r w:rsidRPr="00A5281C">
              <w:rPr>
                <w:rFonts w:cstheme="minorHAnsi"/>
                <w:b w:val="0"/>
                <w:i w:val="0"/>
                <w:sz w:val="21"/>
                <w:szCs w:val="21"/>
              </w:rPr>
              <w:t>Ground</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A5281C" w:rsidRDefault="000A6442" w:rsidP="00BF076D">
            <w:pPr>
              <w:widowControl w:val="0"/>
              <w:spacing w:before="20" w:after="20"/>
              <w:rPr>
                <w:rFonts w:cstheme="minorHAnsi"/>
                <w:b w:val="0"/>
                <w:i w:val="0"/>
                <w:sz w:val="21"/>
                <w:szCs w:val="21"/>
              </w:rPr>
            </w:pPr>
            <w:r w:rsidRPr="00A5281C">
              <w:rPr>
                <w:rFonts w:cstheme="minorHAnsi"/>
                <w:b w:val="0"/>
                <w:i w:val="0"/>
                <w:sz w:val="21"/>
                <w:szCs w:val="21"/>
              </w:rPr>
              <w:t>Number</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A5281C" w:rsidRDefault="000A6442" w:rsidP="00BF076D">
            <w:pPr>
              <w:widowControl w:val="0"/>
              <w:spacing w:before="20" w:after="20"/>
              <w:rPr>
                <w:rFonts w:cstheme="minorHAnsi"/>
                <w:b w:val="0"/>
                <w:i w:val="0"/>
                <w:sz w:val="21"/>
                <w:szCs w:val="21"/>
              </w:rPr>
            </w:pPr>
            <w:r w:rsidRPr="00A5281C">
              <w:rPr>
                <w:rFonts w:cstheme="minorHAnsi"/>
                <w:b w:val="0"/>
                <w:i w:val="0"/>
                <w:sz w:val="21"/>
                <w:szCs w:val="21"/>
              </w:rPr>
              <w:t>%</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6" w:type="dxa"/>
            <w:gridSpan w:val="3"/>
          </w:tcPr>
          <w:p w:rsidR="000A6442" w:rsidRPr="00585B86" w:rsidRDefault="000A6442" w:rsidP="00BF076D">
            <w:pPr>
              <w:spacing w:before="20" w:after="20"/>
              <w:rPr>
                <w:rFonts w:cstheme="minorHAnsi"/>
                <w:b w:val="0"/>
                <w:i w:val="0"/>
                <w:sz w:val="21"/>
                <w:szCs w:val="21"/>
              </w:rPr>
            </w:pPr>
            <w:r w:rsidRPr="00585B86">
              <w:rPr>
                <w:rFonts w:cstheme="minorHAnsi"/>
                <w:b w:val="0"/>
                <w:i w:val="0"/>
                <w:sz w:val="21"/>
                <w:szCs w:val="21"/>
              </w:rPr>
              <w:t>Discrimination</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Age</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30</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E82950" w:rsidP="00BD357E">
            <w:pPr>
              <w:spacing w:before="20" w:after="20"/>
              <w:jc w:val="right"/>
              <w:rPr>
                <w:rFonts w:cstheme="minorHAnsi"/>
                <w:b w:val="0"/>
                <w:i w:val="0"/>
                <w:sz w:val="21"/>
                <w:szCs w:val="21"/>
              </w:rPr>
            </w:pPr>
            <w:r w:rsidRPr="00585B86">
              <w:rPr>
                <w:rFonts w:cstheme="minorHAnsi"/>
                <w:b w:val="0"/>
                <w:i w:val="0"/>
                <w:sz w:val="21"/>
                <w:szCs w:val="21"/>
              </w:rPr>
              <w:t>4.9%</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Breastfeeding</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1</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0.2%</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Family Responsibility</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43</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7.0%</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Gender Identity</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5</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0.8%</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Impairment</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159</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25.8%</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Lawful Sexual Activity</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1</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0.2%</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Parental Status</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17</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2.8%</w:t>
            </w:r>
          </w:p>
        </w:tc>
      </w:tr>
      <w:tr w:rsidR="00E82950"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E82950" w:rsidRPr="00585B86" w:rsidRDefault="00E82950" w:rsidP="00A5281C">
            <w:pPr>
              <w:spacing w:before="20" w:after="20"/>
              <w:ind w:left="217"/>
              <w:rPr>
                <w:rFonts w:cstheme="minorHAnsi"/>
                <w:b w:val="0"/>
                <w:i w:val="0"/>
                <w:sz w:val="21"/>
                <w:szCs w:val="21"/>
              </w:rPr>
            </w:pPr>
            <w:r w:rsidRPr="00585B86">
              <w:rPr>
                <w:rFonts w:cstheme="minorHAnsi"/>
                <w:b w:val="0"/>
                <w:i w:val="0"/>
                <w:sz w:val="21"/>
                <w:szCs w:val="21"/>
              </w:rPr>
              <w:t>Political Belief/Activity</w:t>
            </w:r>
          </w:p>
        </w:tc>
        <w:tc>
          <w:tcPr>
            <w:cnfStyle w:val="000010000000" w:firstRow="0" w:lastRow="0" w:firstColumn="0" w:lastColumn="0" w:oddVBand="1" w:evenVBand="0" w:oddHBand="0" w:evenHBand="0" w:firstRowFirstColumn="0" w:firstRowLastColumn="0" w:lastRowFirstColumn="0" w:lastRowLastColumn="0"/>
            <w:tcW w:w="1377" w:type="dxa"/>
          </w:tcPr>
          <w:p w:rsidR="00E82950" w:rsidRPr="00585B86" w:rsidRDefault="00E82950" w:rsidP="00BD357E">
            <w:pPr>
              <w:spacing w:before="20" w:after="20"/>
              <w:jc w:val="right"/>
              <w:rPr>
                <w:rFonts w:cstheme="minorHAnsi"/>
                <w:i w:val="0"/>
                <w:sz w:val="21"/>
                <w:szCs w:val="21"/>
              </w:rPr>
            </w:pPr>
            <w:r w:rsidRPr="00585B86">
              <w:rPr>
                <w:rFonts w:cstheme="minorHAnsi"/>
                <w:i w:val="0"/>
                <w:sz w:val="21"/>
                <w:szCs w:val="21"/>
              </w:rPr>
              <w:t>1</w:t>
            </w:r>
          </w:p>
        </w:tc>
        <w:tc>
          <w:tcPr>
            <w:cnfStyle w:val="000100000000" w:firstRow="0" w:lastRow="0" w:firstColumn="0" w:lastColumn="1" w:oddVBand="0" w:evenVBand="0" w:oddHBand="0" w:evenHBand="0" w:firstRowFirstColumn="0" w:firstRowLastColumn="0" w:lastRowFirstColumn="0" w:lastRowLastColumn="0"/>
            <w:tcW w:w="1216" w:type="dxa"/>
          </w:tcPr>
          <w:p w:rsidR="00E82950"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0.2%</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Pregnancy</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21</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3.4%</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Race</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70</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11.3%</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Relationship Status</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10</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1.6%</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Religion</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12</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1.9%</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Sex</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57</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9.2%</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Sexuality</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10</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1.6%</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A5281C">
            <w:pPr>
              <w:spacing w:before="20" w:after="20"/>
              <w:ind w:left="217"/>
              <w:rPr>
                <w:rFonts w:cstheme="minorHAnsi"/>
                <w:b w:val="0"/>
                <w:i w:val="0"/>
                <w:sz w:val="21"/>
                <w:szCs w:val="21"/>
              </w:rPr>
            </w:pPr>
            <w:r w:rsidRPr="00585B86">
              <w:rPr>
                <w:rFonts w:cstheme="minorHAnsi"/>
                <w:b w:val="0"/>
                <w:i w:val="0"/>
                <w:sz w:val="21"/>
                <w:szCs w:val="21"/>
              </w:rPr>
              <w:t>Trade Union Activity</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4</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0.6%</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E82742">
            <w:pPr>
              <w:spacing w:before="20" w:after="20"/>
              <w:rPr>
                <w:rFonts w:cstheme="minorHAnsi"/>
                <w:i w:val="0"/>
                <w:sz w:val="21"/>
                <w:szCs w:val="21"/>
              </w:rPr>
            </w:pPr>
            <w:r w:rsidRPr="00585B86">
              <w:rPr>
                <w:rFonts w:cstheme="minorHAnsi"/>
                <w:i w:val="0"/>
                <w:sz w:val="21"/>
                <w:szCs w:val="21"/>
              </w:rPr>
              <w:t>Sub-</w:t>
            </w:r>
            <w:r w:rsidR="00E82742" w:rsidRPr="00585B86">
              <w:rPr>
                <w:rFonts w:cstheme="minorHAnsi"/>
                <w:i w:val="0"/>
                <w:sz w:val="21"/>
                <w:szCs w:val="21"/>
              </w:rPr>
              <w:t>t</w:t>
            </w:r>
            <w:r w:rsidRPr="00585B86">
              <w:rPr>
                <w:rFonts w:cstheme="minorHAnsi"/>
                <w:i w:val="0"/>
                <w:sz w:val="21"/>
                <w:szCs w:val="21"/>
              </w:rPr>
              <w:t>otal Discrimination</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b/>
                <w:i w:val="0"/>
                <w:sz w:val="21"/>
                <w:szCs w:val="21"/>
              </w:rPr>
            </w:pPr>
            <w:r w:rsidRPr="00585B86">
              <w:rPr>
                <w:rFonts w:cstheme="minorHAnsi"/>
                <w:b/>
                <w:i w:val="0"/>
                <w:sz w:val="21"/>
                <w:szCs w:val="21"/>
              </w:rPr>
              <w:t>441</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i w:val="0"/>
                <w:sz w:val="21"/>
                <w:szCs w:val="21"/>
              </w:rPr>
            </w:pPr>
            <w:r w:rsidRPr="00585B86">
              <w:rPr>
                <w:rFonts w:cstheme="minorHAnsi"/>
                <w:i w:val="0"/>
                <w:sz w:val="21"/>
                <w:szCs w:val="21"/>
              </w:rPr>
              <w:t>71.5%</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E82950" w:rsidP="00BF076D">
            <w:pPr>
              <w:spacing w:before="20" w:after="20"/>
              <w:rPr>
                <w:rFonts w:cstheme="minorHAnsi"/>
                <w:b w:val="0"/>
                <w:i w:val="0"/>
                <w:sz w:val="21"/>
                <w:szCs w:val="21"/>
              </w:rPr>
            </w:pPr>
            <w:r w:rsidRPr="00585B86">
              <w:rPr>
                <w:rFonts w:cstheme="minorHAnsi"/>
                <w:b w:val="0"/>
                <w:i w:val="0"/>
                <w:sz w:val="21"/>
                <w:szCs w:val="21"/>
              </w:rPr>
              <w:t>Discriminatory Advertising</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1</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0.2%</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BF076D">
            <w:pPr>
              <w:spacing w:before="20" w:after="20"/>
              <w:rPr>
                <w:rFonts w:cstheme="minorHAnsi"/>
                <w:b w:val="0"/>
                <w:i w:val="0"/>
                <w:sz w:val="21"/>
                <w:szCs w:val="21"/>
              </w:rPr>
            </w:pPr>
            <w:r w:rsidRPr="00585B86">
              <w:rPr>
                <w:rFonts w:cstheme="minorHAnsi"/>
                <w:b w:val="0"/>
                <w:i w:val="0"/>
                <w:sz w:val="21"/>
                <w:szCs w:val="21"/>
              </w:rPr>
              <w:t>Request/Encourage a Breach</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5</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C06D88" w:rsidP="00BD357E">
            <w:pPr>
              <w:spacing w:before="20" w:after="20"/>
              <w:jc w:val="right"/>
              <w:rPr>
                <w:rFonts w:cstheme="minorHAnsi"/>
                <w:b w:val="0"/>
                <w:i w:val="0"/>
                <w:sz w:val="21"/>
                <w:szCs w:val="21"/>
              </w:rPr>
            </w:pPr>
            <w:r w:rsidRPr="00585B86">
              <w:rPr>
                <w:rFonts w:cstheme="minorHAnsi"/>
                <w:b w:val="0"/>
                <w:i w:val="0"/>
                <w:sz w:val="21"/>
                <w:szCs w:val="21"/>
              </w:rPr>
              <w:t>0.8%</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BF076D">
            <w:pPr>
              <w:spacing w:before="20" w:after="20"/>
              <w:rPr>
                <w:rFonts w:cstheme="minorHAnsi"/>
                <w:b w:val="0"/>
                <w:i w:val="0"/>
                <w:sz w:val="21"/>
                <w:szCs w:val="21"/>
              </w:rPr>
            </w:pPr>
            <w:r w:rsidRPr="00585B86">
              <w:rPr>
                <w:rFonts w:cstheme="minorHAnsi"/>
                <w:b w:val="0"/>
                <w:i w:val="0"/>
                <w:sz w:val="21"/>
                <w:szCs w:val="21"/>
              </w:rPr>
              <w:t>Sexual Harassment</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67</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E82950" w:rsidP="00BD357E">
            <w:pPr>
              <w:spacing w:before="20" w:after="20"/>
              <w:jc w:val="right"/>
              <w:rPr>
                <w:rFonts w:cstheme="minorHAnsi"/>
                <w:b w:val="0"/>
                <w:i w:val="0"/>
                <w:sz w:val="21"/>
                <w:szCs w:val="21"/>
              </w:rPr>
            </w:pPr>
            <w:r w:rsidRPr="00585B86">
              <w:rPr>
                <w:rFonts w:cstheme="minorHAnsi"/>
                <w:b w:val="0"/>
                <w:i w:val="0"/>
                <w:sz w:val="21"/>
                <w:szCs w:val="21"/>
              </w:rPr>
              <w:t>10.9%</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BF076D">
            <w:pPr>
              <w:spacing w:before="20" w:after="20"/>
              <w:rPr>
                <w:rFonts w:cstheme="minorHAnsi"/>
                <w:b w:val="0"/>
                <w:i w:val="0"/>
                <w:sz w:val="21"/>
                <w:szCs w:val="21"/>
              </w:rPr>
            </w:pPr>
            <w:r w:rsidRPr="00585B86">
              <w:rPr>
                <w:rFonts w:cstheme="minorHAnsi"/>
                <w:b w:val="0"/>
                <w:i w:val="0"/>
                <w:sz w:val="21"/>
                <w:szCs w:val="21"/>
              </w:rPr>
              <w:t>Unnecessary Questions</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36</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E82950" w:rsidP="00BD357E">
            <w:pPr>
              <w:spacing w:before="20" w:after="20"/>
              <w:jc w:val="right"/>
              <w:rPr>
                <w:rFonts w:cstheme="minorHAnsi"/>
                <w:b w:val="0"/>
                <w:i w:val="0"/>
                <w:sz w:val="21"/>
                <w:szCs w:val="21"/>
              </w:rPr>
            </w:pPr>
            <w:r w:rsidRPr="00585B86">
              <w:rPr>
                <w:rFonts w:cstheme="minorHAnsi"/>
                <w:b w:val="0"/>
                <w:i w:val="0"/>
                <w:sz w:val="21"/>
                <w:szCs w:val="21"/>
              </w:rPr>
              <w:t>5.8%</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BF076D">
            <w:pPr>
              <w:spacing w:before="20" w:after="20"/>
              <w:rPr>
                <w:rFonts w:cstheme="minorHAnsi"/>
                <w:b w:val="0"/>
                <w:i w:val="0"/>
                <w:sz w:val="21"/>
                <w:szCs w:val="21"/>
              </w:rPr>
            </w:pPr>
            <w:r w:rsidRPr="00585B86">
              <w:rPr>
                <w:rFonts w:cstheme="minorHAnsi"/>
                <w:b w:val="0"/>
                <w:i w:val="0"/>
                <w:sz w:val="21"/>
                <w:szCs w:val="21"/>
              </w:rPr>
              <w:t>Victimisation</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52</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E82950" w:rsidP="00BD357E">
            <w:pPr>
              <w:spacing w:before="20" w:after="20"/>
              <w:jc w:val="right"/>
              <w:rPr>
                <w:rFonts w:cstheme="minorHAnsi"/>
                <w:b w:val="0"/>
                <w:i w:val="0"/>
                <w:sz w:val="21"/>
                <w:szCs w:val="21"/>
              </w:rPr>
            </w:pPr>
            <w:r w:rsidRPr="00585B86">
              <w:rPr>
                <w:rFonts w:cstheme="minorHAnsi"/>
                <w:b w:val="0"/>
                <w:i w:val="0"/>
                <w:sz w:val="21"/>
                <w:szCs w:val="21"/>
              </w:rPr>
              <w:t>8.4%</w:t>
            </w:r>
          </w:p>
        </w:tc>
      </w:tr>
      <w:tr w:rsidR="00E827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E82742" w:rsidRPr="00585B86" w:rsidRDefault="00E82742" w:rsidP="00BF076D">
            <w:pPr>
              <w:spacing w:before="20" w:after="20"/>
              <w:rPr>
                <w:rFonts w:cstheme="minorHAnsi"/>
                <w:i w:val="0"/>
                <w:sz w:val="21"/>
                <w:szCs w:val="21"/>
              </w:rPr>
            </w:pPr>
            <w:r w:rsidRPr="00585B86">
              <w:rPr>
                <w:rFonts w:cstheme="minorHAnsi"/>
                <w:i w:val="0"/>
                <w:sz w:val="21"/>
                <w:szCs w:val="21"/>
              </w:rPr>
              <w:t>Sub-total</w:t>
            </w:r>
          </w:p>
        </w:tc>
        <w:tc>
          <w:tcPr>
            <w:cnfStyle w:val="000010000000" w:firstRow="0" w:lastRow="0" w:firstColumn="0" w:lastColumn="0" w:oddVBand="1" w:evenVBand="0" w:oddHBand="0" w:evenHBand="0" w:firstRowFirstColumn="0" w:firstRowLastColumn="0" w:lastRowFirstColumn="0" w:lastRowLastColumn="0"/>
            <w:tcW w:w="1377" w:type="dxa"/>
          </w:tcPr>
          <w:p w:rsidR="00E82742" w:rsidRPr="00585B86" w:rsidRDefault="00E82742" w:rsidP="008B35A3">
            <w:pPr>
              <w:spacing w:before="20" w:after="20"/>
              <w:jc w:val="right"/>
              <w:rPr>
                <w:rFonts w:cstheme="minorHAnsi"/>
                <w:b/>
                <w:i w:val="0"/>
                <w:sz w:val="21"/>
                <w:szCs w:val="21"/>
              </w:rPr>
            </w:pPr>
            <w:r w:rsidRPr="00585B86">
              <w:rPr>
                <w:rFonts w:cstheme="minorHAnsi"/>
                <w:b/>
                <w:i w:val="0"/>
                <w:sz w:val="21"/>
                <w:szCs w:val="21"/>
              </w:rPr>
              <w:t>161</w:t>
            </w:r>
          </w:p>
        </w:tc>
        <w:tc>
          <w:tcPr>
            <w:cnfStyle w:val="000100000000" w:firstRow="0" w:lastRow="0" w:firstColumn="0" w:lastColumn="1" w:oddVBand="0" w:evenVBand="0" w:oddHBand="0" w:evenHBand="0" w:firstRowFirstColumn="0" w:firstRowLastColumn="0" w:lastRowFirstColumn="0" w:lastRowLastColumn="0"/>
            <w:tcW w:w="1216" w:type="dxa"/>
          </w:tcPr>
          <w:p w:rsidR="00E82742" w:rsidRPr="00585B86" w:rsidRDefault="00E82742" w:rsidP="00BD357E">
            <w:pPr>
              <w:spacing w:before="20" w:after="20"/>
              <w:jc w:val="right"/>
              <w:rPr>
                <w:rFonts w:cstheme="minorHAnsi"/>
                <w:i w:val="0"/>
                <w:sz w:val="21"/>
                <w:szCs w:val="21"/>
              </w:rPr>
            </w:pPr>
            <w:r w:rsidRPr="00585B86">
              <w:rPr>
                <w:rFonts w:cstheme="minorHAnsi"/>
                <w:i w:val="0"/>
                <w:sz w:val="21"/>
                <w:szCs w:val="21"/>
              </w:rPr>
              <w:t>26.1%</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7596" w:type="dxa"/>
            <w:gridSpan w:val="3"/>
          </w:tcPr>
          <w:p w:rsidR="000A6442" w:rsidRPr="00585B86" w:rsidRDefault="000A6442" w:rsidP="00E82742">
            <w:pPr>
              <w:spacing w:before="20" w:after="20"/>
              <w:rPr>
                <w:rFonts w:cstheme="minorHAnsi"/>
                <w:b w:val="0"/>
                <w:i w:val="0"/>
                <w:sz w:val="21"/>
                <w:szCs w:val="21"/>
              </w:rPr>
            </w:pPr>
            <w:r w:rsidRPr="00585B86">
              <w:rPr>
                <w:rFonts w:cstheme="minorHAnsi"/>
                <w:b w:val="0"/>
                <w:i w:val="0"/>
                <w:sz w:val="21"/>
                <w:szCs w:val="21"/>
              </w:rPr>
              <w:t>Vilification</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BD357E">
            <w:pPr>
              <w:spacing w:before="20" w:after="20"/>
              <w:ind w:left="217"/>
              <w:rPr>
                <w:rFonts w:cstheme="minorHAnsi"/>
                <w:b w:val="0"/>
                <w:i w:val="0"/>
                <w:sz w:val="21"/>
                <w:szCs w:val="21"/>
              </w:rPr>
            </w:pPr>
            <w:r w:rsidRPr="00585B86">
              <w:rPr>
                <w:rFonts w:cstheme="minorHAnsi"/>
                <w:b w:val="0"/>
                <w:i w:val="0"/>
                <w:sz w:val="21"/>
                <w:szCs w:val="21"/>
              </w:rPr>
              <w:t>Race</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4</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E82950" w:rsidP="00BD357E">
            <w:pPr>
              <w:spacing w:before="20" w:after="20"/>
              <w:jc w:val="right"/>
              <w:rPr>
                <w:rFonts w:cstheme="minorHAnsi"/>
                <w:b w:val="0"/>
                <w:i w:val="0"/>
                <w:sz w:val="21"/>
                <w:szCs w:val="21"/>
              </w:rPr>
            </w:pPr>
            <w:r w:rsidRPr="00585B86">
              <w:rPr>
                <w:rFonts w:cstheme="minorHAnsi"/>
                <w:b w:val="0"/>
                <w:i w:val="0"/>
                <w:sz w:val="21"/>
                <w:szCs w:val="21"/>
              </w:rPr>
              <w:t>0.6%</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BD357E">
            <w:pPr>
              <w:spacing w:before="20" w:after="20"/>
              <w:ind w:left="217"/>
              <w:rPr>
                <w:rFonts w:cstheme="minorHAnsi"/>
                <w:b w:val="0"/>
                <w:i w:val="0"/>
                <w:sz w:val="21"/>
                <w:szCs w:val="21"/>
              </w:rPr>
            </w:pPr>
            <w:r w:rsidRPr="00585B86">
              <w:rPr>
                <w:rFonts w:cstheme="minorHAnsi"/>
                <w:b w:val="0"/>
                <w:i w:val="0"/>
                <w:sz w:val="21"/>
                <w:szCs w:val="21"/>
              </w:rPr>
              <w:t>Religion</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1</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E82950" w:rsidP="00BD357E">
            <w:pPr>
              <w:spacing w:before="20" w:after="20"/>
              <w:jc w:val="right"/>
              <w:rPr>
                <w:rFonts w:cstheme="minorHAnsi"/>
                <w:b w:val="0"/>
                <w:i w:val="0"/>
                <w:sz w:val="21"/>
                <w:szCs w:val="21"/>
              </w:rPr>
            </w:pPr>
            <w:r w:rsidRPr="00585B86">
              <w:rPr>
                <w:rFonts w:cstheme="minorHAnsi"/>
                <w:b w:val="0"/>
                <w:i w:val="0"/>
                <w:sz w:val="21"/>
                <w:szCs w:val="21"/>
              </w:rPr>
              <w:t>0.2%</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BD357E">
            <w:pPr>
              <w:spacing w:before="20" w:after="20"/>
              <w:ind w:left="217"/>
              <w:rPr>
                <w:rFonts w:cstheme="minorHAnsi"/>
                <w:b w:val="0"/>
                <w:i w:val="0"/>
                <w:sz w:val="21"/>
                <w:szCs w:val="21"/>
              </w:rPr>
            </w:pPr>
            <w:r w:rsidRPr="00585B86">
              <w:rPr>
                <w:rFonts w:cstheme="minorHAnsi"/>
                <w:b w:val="0"/>
                <w:i w:val="0"/>
                <w:sz w:val="21"/>
                <w:szCs w:val="21"/>
              </w:rPr>
              <w:t>Sexuality</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6</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E82950" w:rsidP="00BD357E">
            <w:pPr>
              <w:spacing w:before="20" w:after="20"/>
              <w:jc w:val="right"/>
              <w:rPr>
                <w:rFonts w:cstheme="minorHAnsi"/>
                <w:b w:val="0"/>
                <w:i w:val="0"/>
                <w:sz w:val="21"/>
                <w:szCs w:val="21"/>
              </w:rPr>
            </w:pPr>
            <w:r w:rsidRPr="00585B86">
              <w:rPr>
                <w:rFonts w:cstheme="minorHAnsi"/>
                <w:b w:val="0"/>
                <w:i w:val="0"/>
                <w:sz w:val="21"/>
                <w:szCs w:val="21"/>
              </w:rPr>
              <w:t>1.0%</w:t>
            </w:r>
          </w:p>
        </w:tc>
      </w:tr>
      <w:tr w:rsidR="000A6442" w:rsidRPr="002F3BB0" w:rsidTr="00585B86">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E82742">
            <w:pPr>
              <w:spacing w:before="20" w:after="20"/>
              <w:rPr>
                <w:rFonts w:cstheme="minorHAnsi"/>
                <w:i w:val="0"/>
                <w:sz w:val="21"/>
                <w:szCs w:val="21"/>
              </w:rPr>
            </w:pPr>
            <w:r w:rsidRPr="00585B86">
              <w:rPr>
                <w:rFonts w:cstheme="minorHAnsi"/>
                <w:i w:val="0"/>
                <w:sz w:val="21"/>
                <w:szCs w:val="21"/>
              </w:rPr>
              <w:t>Sub-</w:t>
            </w:r>
            <w:r w:rsidR="00E82742" w:rsidRPr="00585B86">
              <w:rPr>
                <w:rFonts w:cstheme="minorHAnsi"/>
                <w:i w:val="0"/>
                <w:sz w:val="21"/>
                <w:szCs w:val="21"/>
              </w:rPr>
              <w:t>t</w:t>
            </w:r>
            <w:r w:rsidRPr="00585B86">
              <w:rPr>
                <w:rFonts w:cstheme="minorHAnsi"/>
                <w:i w:val="0"/>
                <w:sz w:val="21"/>
                <w:szCs w:val="21"/>
              </w:rPr>
              <w:t>otal Vilification</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b/>
                <w:i w:val="0"/>
                <w:sz w:val="21"/>
                <w:szCs w:val="21"/>
              </w:rPr>
            </w:pPr>
            <w:r w:rsidRPr="00585B86">
              <w:rPr>
                <w:rFonts w:cstheme="minorHAnsi"/>
                <w:b/>
                <w:i w:val="0"/>
                <w:sz w:val="21"/>
                <w:szCs w:val="21"/>
              </w:rPr>
              <w:t>11</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1.8%</w:t>
            </w:r>
          </w:p>
        </w:tc>
      </w:tr>
      <w:tr w:rsidR="000A6442"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BF076D">
            <w:pPr>
              <w:spacing w:before="20" w:after="20"/>
              <w:rPr>
                <w:rFonts w:cstheme="minorHAnsi"/>
                <w:b w:val="0"/>
                <w:i w:val="0"/>
                <w:sz w:val="21"/>
                <w:szCs w:val="21"/>
              </w:rPr>
            </w:pPr>
            <w:proofErr w:type="spellStart"/>
            <w:r w:rsidRPr="00585B86">
              <w:rPr>
                <w:rFonts w:cstheme="minorHAnsi"/>
                <w:b w:val="0"/>
                <w:i w:val="0"/>
                <w:sz w:val="21"/>
                <w:szCs w:val="21"/>
              </w:rPr>
              <w:t>Whistleblower</w:t>
            </w:r>
            <w:proofErr w:type="spellEnd"/>
            <w:r w:rsidRPr="00585B86">
              <w:rPr>
                <w:rFonts w:cstheme="minorHAnsi"/>
                <w:b w:val="0"/>
                <w:i w:val="0"/>
                <w:sz w:val="21"/>
                <w:szCs w:val="21"/>
              </w:rPr>
              <w:t xml:space="preserve"> reprisal</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4</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E82950" w:rsidP="00BD357E">
            <w:pPr>
              <w:spacing w:before="20" w:after="20"/>
              <w:jc w:val="right"/>
              <w:rPr>
                <w:rFonts w:cstheme="minorHAnsi"/>
                <w:b w:val="0"/>
                <w:i w:val="0"/>
                <w:sz w:val="21"/>
                <w:szCs w:val="21"/>
              </w:rPr>
            </w:pPr>
            <w:r w:rsidRPr="00585B86">
              <w:rPr>
                <w:rFonts w:cstheme="minorHAnsi"/>
                <w:b w:val="0"/>
                <w:i w:val="0"/>
                <w:sz w:val="21"/>
                <w:szCs w:val="21"/>
              </w:rPr>
              <w:t>0.6%</w:t>
            </w:r>
          </w:p>
        </w:tc>
      </w:tr>
      <w:tr w:rsidR="000A6442" w:rsidRPr="00585B86" w:rsidTr="00585B86">
        <w:trPr>
          <w:cnfStyle w:val="010000000000" w:firstRow="0" w:lastRow="1"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923" w:type="dxa"/>
          </w:tcPr>
          <w:p w:rsidR="000A6442" w:rsidRPr="00585B86" w:rsidRDefault="000A6442" w:rsidP="00BF076D">
            <w:pPr>
              <w:spacing w:before="20" w:after="20"/>
              <w:rPr>
                <w:rFonts w:cstheme="minorHAnsi"/>
                <w:i w:val="0"/>
                <w:sz w:val="21"/>
                <w:szCs w:val="21"/>
              </w:rPr>
            </w:pPr>
            <w:r w:rsidRPr="00585B86">
              <w:rPr>
                <w:rFonts w:cstheme="minorHAnsi"/>
                <w:i w:val="0"/>
                <w:sz w:val="21"/>
                <w:szCs w:val="21"/>
              </w:rPr>
              <w:t>Total</w:t>
            </w:r>
          </w:p>
        </w:tc>
        <w:tc>
          <w:tcPr>
            <w:cnfStyle w:val="000010000000" w:firstRow="0" w:lastRow="0" w:firstColumn="0" w:lastColumn="0" w:oddVBand="1" w:evenVBand="0" w:oddHBand="0" w:evenHBand="0" w:firstRowFirstColumn="0" w:firstRowLastColumn="0" w:lastRowFirstColumn="0" w:lastRowLastColumn="0"/>
            <w:tcW w:w="1377" w:type="dxa"/>
          </w:tcPr>
          <w:p w:rsidR="000A6442" w:rsidRPr="00585B86" w:rsidRDefault="00E82742" w:rsidP="00BD357E">
            <w:pPr>
              <w:spacing w:before="20" w:after="20"/>
              <w:jc w:val="right"/>
              <w:rPr>
                <w:rFonts w:cstheme="minorHAnsi"/>
                <w:i w:val="0"/>
                <w:sz w:val="21"/>
                <w:szCs w:val="21"/>
              </w:rPr>
            </w:pPr>
            <w:r w:rsidRPr="00585B86">
              <w:rPr>
                <w:rFonts w:cstheme="minorHAnsi"/>
                <w:i w:val="0"/>
                <w:sz w:val="21"/>
                <w:szCs w:val="21"/>
              </w:rPr>
              <w:t>617</w:t>
            </w:r>
          </w:p>
        </w:tc>
        <w:tc>
          <w:tcPr>
            <w:cnfStyle w:val="000100000000" w:firstRow="0" w:lastRow="0" w:firstColumn="0" w:lastColumn="1" w:oddVBand="0" w:evenVBand="0" w:oddHBand="0" w:evenHBand="0" w:firstRowFirstColumn="0" w:firstRowLastColumn="0" w:lastRowFirstColumn="0" w:lastRowLastColumn="0"/>
            <w:tcW w:w="1216" w:type="dxa"/>
          </w:tcPr>
          <w:p w:rsidR="000A6442" w:rsidRPr="00585B86" w:rsidRDefault="00E82950" w:rsidP="00BD357E">
            <w:pPr>
              <w:spacing w:before="20" w:after="20"/>
              <w:jc w:val="right"/>
              <w:rPr>
                <w:rFonts w:cstheme="minorHAnsi"/>
                <w:i w:val="0"/>
                <w:sz w:val="21"/>
                <w:szCs w:val="21"/>
              </w:rPr>
            </w:pPr>
            <w:r w:rsidRPr="00585B86">
              <w:rPr>
                <w:rFonts w:cstheme="minorHAnsi"/>
                <w:i w:val="0"/>
                <w:sz w:val="21"/>
                <w:szCs w:val="21"/>
              </w:rPr>
              <w:t>100.0%</w:t>
            </w:r>
          </w:p>
        </w:tc>
      </w:tr>
    </w:tbl>
    <w:p w:rsidR="00425BA7" w:rsidRPr="00A5281C" w:rsidRDefault="00CD0594" w:rsidP="00A5281C">
      <w:pPr>
        <w:spacing w:before="120" w:after="120" w:line="240" w:lineRule="auto"/>
        <w:ind w:firstLine="720"/>
        <w:rPr>
          <w:rFonts w:cstheme="minorHAnsi"/>
          <w:i w:val="0"/>
          <w:szCs w:val="22"/>
          <w:lang w:eastAsia="en-AU"/>
        </w:rPr>
      </w:pPr>
      <w:r w:rsidRPr="00425BA7">
        <w:rPr>
          <w:rFonts w:cstheme="minorHAnsi"/>
          <w:szCs w:val="22"/>
          <w:lang w:eastAsia="en-AU"/>
        </w:rPr>
        <w:t xml:space="preserve">Note: </w:t>
      </w:r>
      <w:r w:rsidR="000A6442" w:rsidRPr="002F3BB0">
        <w:rPr>
          <w:rFonts w:cstheme="minorHAnsi"/>
          <w:szCs w:val="22"/>
          <w:lang w:eastAsia="en-AU"/>
        </w:rPr>
        <w:t>Complaints may be accepted under more than one ground</w:t>
      </w:r>
    </w:p>
    <w:p w:rsidR="00C06D88" w:rsidRPr="002F3BB0" w:rsidRDefault="00C06D88" w:rsidP="00425BA7">
      <w:pPr>
        <w:widowControl w:val="0"/>
        <w:spacing w:before="120" w:after="240" w:line="240" w:lineRule="auto"/>
        <w:rPr>
          <w:rFonts w:ascii="Arial" w:hAnsi="Arial" w:cs="Arial"/>
          <w:i w:val="0"/>
          <w:sz w:val="22"/>
          <w:lang w:eastAsia="en-AU"/>
        </w:rPr>
      </w:pPr>
      <w:r w:rsidRPr="00F73EF1">
        <w:rPr>
          <w:rFonts w:ascii="Arial" w:hAnsi="Arial" w:cs="Arial"/>
          <w:i w:val="0"/>
          <w:sz w:val="22"/>
          <w:lang w:eastAsia="en-AU"/>
        </w:rPr>
        <w:t>As can be seen from Table 10,</w:t>
      </w:r>
      <w:r w:rsidR="00F73EF1" w:rsidRPr="00F73EF1">
        <w:rPr>
          <w:rFonts w:ascii="Arial" w:hAnsi="Arial" w:cs="Arial"/>
          <w:i w:val="0"/>
          <w:sz w:val="22"/>
          <w:lang w:eastAsia="en-AU"/>
        </w:rPr>
        <w:t xml:space="preserve"> discrimination in </w:t>
      </w:r>
      <w:r w:rsidRPr="00F73EF1">
        <w:rPr>
          <w:rFonts w:ascii="Arial" w:hAnsi="Arial" w:cs="Arial"/>
          <w:i w:val="0"/>
          <w:sz w:val="22"/>
          <w:lang w:eastAsia="en-AU"/>
        </w:rPr>
        <w:t xml:space="preserve">the workplace continues to be more </w:t>
      </w:r>
      <w:r w:rsidR="00F73EF1" w:rsidRPr="00F73EF1">
        <w:rPr>
          <w:rFonts w:ascii="Arial" w:hAnsi="Arial" w:cs="Arial"/>
          <w:i w:val="0"/>
          <w:sz w:val="22"/>
          <w:lang w:eastAsia="en-AU"/>
        </w:rPr>
        <w:t xml:space="preserve">readily identified and more </w:t>
      </w:r>
      <w:r w:rsidRPr="00F73EF1">
        <w:rPr>
          <w:rFonts w:ascii="Arial" w:hAnsi="Arial" w:cs="Arial"/>
          <w:i w:val="0"/>
          <w:sz w:val="22"/>
          <w:lang w:eastAsia="en-AU"/>
        </w:rPr>
        <w:t xml:space="preserve">likely to result in a complaint to the Commission with </w:t>
      </w:r>
      <w:r w:rsidR="002544A6" w:rsidRPr="00F73EF1">
        <w:rPr>
          <w:rFonts w:ascii="Arial" w:hAnsi="Arial" w:cs="Arial"/>
          <w:i w:val="0"/>
          <w:sz w:val="22"/>
          <w:lang w:eastAsia="en-AU"/>
        </w:rPr>
        <w:t>359</w:t>
      </w:r>
      <w:r w:rsidR="00F73EF1" w:rsidRPr="00F73EF1">
        <w:rPr>
          <w:rFonts w:ascii="Arial" w:hAnsi="Arial" w:cs="Arial"/>
          <w:i w:val="0"/>
          <w:sz w:val="22"/>
          <w:lang w:eastAsia="en-AU"/>
        </w:rPr>
        <w:t xml:space="preserve">, or </w:t>
      </w:r>
      <w:r w:rsidR="00482586" w:rsidRPr="00F73EF1">
        <w:rPr>
          <w:rFonts w:ascii="Arial" w:hAnsi="Arial" w:cs="Arial"/>
          <w:i w:val="0"/>
          <w:sz w:val="22"/>
          <w:lang w:eastAsia="en-AU"/>
        </w:rPr>
        <w:t xml:space="preserve">63.8% </w:t>
      </w:r>
      <w:r w:rsidRPr="00F73EF1">
        <w:rPr>
          <w:rFonts w:ascii="Arial" w:hAnsi="Arial" w:cs="Arial"/>
          <w:i w:val="0"/>
          <w:sz w:val="22"/>
          <w:lang w:eastAsia="en-AU"/>
        </w:rPr>
        <w:t>of all complaints arising from work.</w:t>
      </w:r>
      <w:r w:rsidRPr="002F3BB0">
        <w:rPr>
          <w:rFonts w:ascii="Arial" w:hAnsi="Arial" w:cs="Arial"/>
          <w:i w:val="0"/>
          <w:sz w:val="22"/>
          <w:lang w:eastAsia="en-AU"/>
        </w:rPr>
        <w:t xml:space="preserve"> The number and proportion of work related complaints shows that workplace fairness is the most significant </w:t>
      </w:r>
      <w:r w:rsidR="00482586">
        <w:rPr>
          <w:rFonts w:ascii="Arial" w:hAnsi="Arial" w:cs="Arial"/>
          <w:i w:val="0"/>
          <w:sz w:val="22"/>
          <w:lang w:eastAsia="en-AU"/>
        </w:rPr>
        <w:t>area of people’s lives. Table 10</w:t>
      </w:r>
      <w:r w:rsidRPr="002F3BB0">
        <w:rPr>
          <w:rFonts w:ascii="Arial" w:hAnsi="Arial" w:cs="Arial"/>
          <w:i w:val="0"/>
          <w:sz w:val="22"/>
          <w:lang w:eastAsia="en-AU"/>
        </w:rPr>
        <w:t xml:space="preserve"> shows </w:t>
      </w:r>
      <w:r w:rsidR="005E23D1">
        <w:rPr>
          <w:rFonts w:ascii="Arial" w:hAnsi="Arial" w:cs="Arial"/>
          <w:i w:val="0"/>
          <w:sz w:val="22"/>
          <w:lang w:eastAsia="en-AU"/>
        </w:rPr>
        <w:t xml:space="preserve">239 </w:t>
      </w:r>
      <w:r w:rsidR="002544A6">
        <w:rPr>
          <w:rFonts w:ascii="Arial" w:hAnsi="Arial" w:cs="Arial"/>
          <w:i w:val="0"/>
          <w:sz w:val="22"/>
          <w:lang w:eastAsia="en-AU"/>
        </w:rPr>
        <w:t xml:space="preserve">complaints, </w:t>
      </w:r>
      <w:r w:rsidR="002544A6" w:rsidRPr="003C0824">
        <w:rPr>
          <w:rFonts w:ascii="Arial" w:hAnsi="Arial" w:cs="Arial"/>
          <w:i w:val="0"/>
          <w:sz w:val="22"/>
          <w:lang w:eastAsia="en-AU"/>
        </w:rPr>
        <w:t xml:space="preserve">comprising </w:t>
      </w:r>
      <w:r w:rsidRPr="003C0824">
        <w:rPr>
          <w:rFonts w:ascii="Arial" w:hAnsi="Arial" w:cs="Arial"/>
          <w:i w:val="0"/>
          <w:sz w:val="22"/>
          <w:lang w:eastAsia="en-AU"/>
        </w:rPr>
        <w:t>6</w:t>
      </w:r>
      <w:r w:rsidR="002544A6" w:rsidRPr="003C0824">
        <w:rPr>
          <w:rFonts w:ascii="Arial" w:hAnsi="Arial" w:cs="Arial"/>
          <w:i w:val="0"/>
          <w:sz w:val="22"/>
          <w:lang w:eastAsia="en-AU"/>
        </w:rPr>
        <w:t>6.6</w:t>
      </w:r>
      <w:r w:rsidRPr="003C0824">
        <w:rPr>
          <w:rFonts w:ascii="Arial" w:hAnsi="Arial" w:cs="Arial"/>
          <w:i w:val="0"/>
          <w:sz w:val="22"/>
          <w:lang w:eastAsia="en-AU"/>
        </w:rPr>
        <w:t xml:space="preserve">% of </w:t>
      </w:r>
      <w:r w:rsidR="00482586" w:rsidRPr="003C0824">
        <w:rPr>
          <w:rFonts w:ascii="Arial" w:hAnsi="Arial" w:cs="Arial"/>
          <w:i w:val="0"/>
          <w:sz w:val="22"/>
          <w:lang w:eastAsia="en-AU"/>
        </w:rPr>
        <w:t>wo</w:t>
      </w:r>
      <w:r w:rsidRPr="003C0824">
        <w:rPr>
          <w:rFonts w:ascii="Arial" w:hAnsi="Arial" w:cs="Arial"/>
          <w:i w:val="0"/>
          <w:sz w:val="22"/>
          <w:lang w:eastAsia="en-AU"/>
        </w:rPr>
        <w:t xml:space="preserve">rkplace </w:t>
      </w:r>
      <w:r w:rsidR="00482586" w:rsidRPr="003C0824">
        <w:rPr>
          <w:rFonts w:ascii="Arial" w:hAnsi="Arial" w:cs="Arial"/>
          <w:i w:val="0"/>
          <w:sz w:val="22"/>
          <w:lang w:eastAsia="en-AU"/>
        </w:rPr>
        <w:t>complaints</w:t>
      </w:r>
      <w:r w:rsidR="002544A6" w:rsidRPr="003C0824">
        <w:rPr>
          <w:rFonts w:ascii="Arial" w:hAnsi="Arial" w:cs="Arial"/>
          <w:i w:val="0"/>
          <w:sz w:val="22"/>
          <w:lang w:eastAsia="en-AU"/>
        </w:rPr>
        <w:t>,</w:t>
      </w:r>
      <w:r w:rsidR="00482586" w:rsidRPr="003C0824">
        <w:rPr>
          <w:rFonts w:ascii="Arial" w:hAnsi="Arial" w:cs="Arial"/>
          <w:i w:val="0"/>
          <w:sz w:val="22"/>
          <w:lang w:eastAsia="en-AU"/>
        </w:rPr>
        <w:t xml:space="preserve"> involved discrimination</w:t>
      </w:r>
      <w:r w:rsidR="00CA33CA" w:rsidRPr="003C0824">
        <w:rPr>
          <w:rFonts w:ascii="Arial" w:hAnsi="Arial" w:cs="Arial"/>
          <w:i w:val="0"/>
          <w:sz w:val="22"/>
          <w:lang w:eastAsia="en-AU"/>
        </w:rPr>
        <w:t xml:space="preserve"> with the balance of workplace complaints being sexual harassment </w:t>
      </w:r>
      <w:r w:rsidR="002544A6" w:rsidRPr="003C0824">
        <w:rPr>
          <w:rFonts w:ascii="Arial" w:hAnsi="Arial" w:cs="Arial"/>
          <w:i w:val="0"/>
          <w:sz w:val="22"/>
          <w:lang w:eastAsia="en-AU"/>
        </w:rPr>
        <w:t xml:space="preserve">55 (15.3%) </w:t>
      </w:r>
      <w:r w:rsidR="00CA33CA" w:rsidRPr="003C0824">
        <w:rPr>
          <w:rFonts w:ascii="Arial" w:hAnsi="Arial" w:cs="Arial"/>
          <w:i w:val="0"/>
          <w:sz w:val="22"/>
          <w:lang w:eastAsia="en-AU"/>
        </w:rPr>
        <w:t>and victimisation</w:t>
      </w:r>
      <w:r w:rsidR="002544A6" w:rsidRPr="003C0824">
        <w:rPr>
          <w:rFonts w:ascii="Arial" w:hAnsi="Arial" w:cs="Arial"/>
          <w:i w:val="0"/>
          <w:sz w:val="22"/>
          <w:lang w:eastAsia="en-AU"/>
        </w:rPr>
        <w:t xml:space="preserve"> 39 (10.9%)</w:t>
      </w:r>
      <w:r w:rsidR="005E23D1" w:rsidRPr="003C0824">
        <w:rPr>
          <w:rFonts w:ascii="Arial" w:hAnsi="Arial" w:cs="Arial"/>
          <w:i w:val="0"/>
          <w:sz w:val="22"/>
          <w:lang w:eastAsia="en-AU"/>
        </w:rPr>
        <w:t>.</w:t>
      </w:r>
      <w:r w:rsidRPr="003C0824">
        <w:rPr>
          <w:rFonts w:ascii="Arial" w:hAnsi="Arial" w:cs="Arial"/>
          <w:i w:val="0"/>
          <w:sz w:val="22"/>
          <w:lang w:eastAsia="en-AU"/>
        </w:rPr>
        <w:t xml:space="preserve"> This is largely consistent with previous years.</w:t>
      </w:r>
    </w:p>
    <w:p w:rsidR="00C06D88" w:rsidRPr="002F3BB0" w:rsidRDefault="005E23D1" w:rsidP="00425BA7">
      <w:pPr>
        <w:keepNext/>
        <w:keepLines/>
        <w:spacing w:before="120" w:after="240" w:line="240" w:lineRule="auto"/>
        <w:rPr>
          <w:rFonts w:ascii="Arial" w:hAnsi="Arial" w:cs="Arial"/>
          <w:i w:val="0"/>
          <w:sz w:val="22"/>
          <w:lang w:eastAsia="en-AU"/>
        </w:rPr>
      </w:pPr>
      <w:r>
        <w:rPr>
          <w:rFonts w:ascii="Arial" w:hAnsi="Arial" w:cs="Arial"/>
          <w:i w:val="0"/>
          <w:sz w:val="22"/>
          <w:lang w:eastAsia="en-AU"/>
        </w:rPr>
        <w:t xml:space="preserve">In other areas, </w:t>
      </w:r>
      <w:r w:rsidR="00C06D88" w:rsidRPr="002F3BB0">
        <w:rPr>
          <w:rFonts w:ascii="Arial" w:hAnsi="Arial" w:cs="Arial"/>
          <w:i w:val="0"/>
          <w:sz w:val="22"/>
          <w:lang w:eastAsia="en-AU"/>
        </w:rPr>
        <w:t xml:space="preserve">14.4% </w:t>
      </w:r>
      <w:r>
        <w:rPr>
          <w:rFonts w:ascii="Arial" w:hAnsi="Arial" w:cs="Arial"/>
          <w:i w:val="0"/>
          <w:sz w:val="22"/>
          <w:lang w:eastAsia="en-AU"/>
        </w:rPr>
        <w:t>of complaints aro</w:t>
      </w:r>
      <w:r w:rsidR="00C06D88" w:rsidRPr="002F3BB0">
        <w:rPr>
          <w:rFonts w:ascii="Arial" w:hAnsi="Arial" w:cs="Arial"/>
          <w:i w:val="0"/>
          <w:sz w:val="22"/>
          <w:lang w:eastAsia="en-AU"/>
        </w:rPr>
        <w:t>se in the provision of go</w:t>
      </w:r>
      <w:r w:rsidR="002544A6">
        <w:rPr>
          <w:rFonts w:ascii="Arial" w:hAnsi="Arial" w:cs="Arial"/>
          <w:i w:val="0"/>
          <w:sz w:val="22"/>
          <w:lang w:eastAsia="en-AU"/>
        </w:rPr>
        <w:t xml:space="preserve">ods and </w:t>
      </w:r>
      <w:proofErr w:type="gramStart"/>
      <w:r w:rsidR="002544A6">
        <w:rPr>
          <w:rFonts w:ascii="Arial" w:hAnsi="Arial" w:cs="Arial"/>
          <w:i w:val="0"/>
          <w:sz w:val="22"/>
          <w:lang w:eastAsia="en-AU"/>
        </w:rPr>
        <w:t>services, which includes</w:t>
      </w:r>
      <w:proofErr w:type="gramEnd"/>
      <w:r w:rsidR="00C06D88" w:rsidRPr="002F3BB0">
        <w:rPr>
          <w:rFonts w:ascii="Arial" w:hAnsi="Arial" w:cs="Arial"/>
          <w:i w:val="0"/>
          <w:sz w:val="22"/>
          <w:lang w:eastAsia="en-AU"/>
        </w:rPr>
        <w:t xml:space="preserve"> access</w:t>
      </w:r>
      <w:r>
        <w:rPr>
          <w:rFonts w:ascii="Arial" w:hAnsi="Arial" w:cs="Arial"/>
          <w:i w:val="0"/>
          <w:sz w:val="22"/>
          <w:lang w:eastAsia="en-AU"/>
        </w:rPr>
        <w:t xml:space="preserve"> to public places and buildings and 5.5% of complaints arose in accommodation</w:t>
      </w:r>
      <w:r w:rsidR="002544A6">
        <w:rPr>
          <w:rFonts w:ascii="Arial" w:hAnsi="Arial" w:cs="Arial"/>
          <w:i w:val="0"/>
          <w:sz w:val="22"/>
          <w:lang w:eastAsia="en-AU"/>
        </w:rPr>
        <w:t>, with discrimination being the major ground of complaint.</w:t>
      </w:r>
    </w:p>
    <w:p w:rsidR="00C06D88" w:rsidRPr="00C06D88" w:rsidRDefault="00C06D88" w:rsidP="001B3D5C">
      <w:pPr>
        <w:spacing w:before="240" w:after="120" w:line="240" w:lineRule="auto"/>
        <w:rPr>
          <w:rFonts w:eastAsia="Times New Roman" w:cstheme="minorHAnsi"/>
          <w:b/>
          <w:sz w:val="22"/>
          <w:szCs w:val="22"/>
          <w:highlight w:val="green"/>
          <w:lang w:eastAsia="en-AU"/>
        </w:rPr>
        <w:sectPr w:rsidR="00C06D88" w:rsidRPr="00C06D88" w:rsidSect="00135540">
          <w:footerReference w:type="default" r:id="rId16"/>
          <w:footerReference w:type="first" r:id="rId17"/>
          <w:pgSz w:w="11906" w:h="16838" w:code="9"/>
          <w:pgMar w:top="851" w:right="1077" w:bottom="902" w:left="1077" w:header="708" w:footer="425" w:gutter="0"/>
          <w:pgNumType w:start="0"/>
          <w:cols w:space="720"/>
          <w:titlePg/>
          <w:docGrid w:linePitch="360"/>
        </w:sectPr>
      </w:pPr>
    </w:p>
    <w:p w:rsidR="002877CF" w:rsidRPr="002F3BB0" w:rsidRDefault="002877CF" w:rsidP="00FF209B">
      <w:pPr>
        <w:pStyle w:val="Heading3"/>
        <w:rPr>
          <w:rFonts w:eastAsia="Times New Roman"/>
          <w:i/>
          <w:lang w:eastAsia="en-AU"/>
        </w:rPr>
      </w:pPr>
      <w:r w:rsidRPr="002F3BB0">
        <w:lastRenderedPageBreak/>
        <w:t xml:space="preserve">Table </w:t>
      </w:r>
      <w:r w:rsidR="00810035">
        <w:t>1</w:t>
      </w:r>
      <w:r w:rsidR="0033101E">
        <w:t xml:space="preserve">0: </w:t>
      </w:r>
      <w:r w:rsidRPr="002F3BB0">
        <w:t>State-wide accepted complaints by area</w:t>
      </w:r>
      <w:r w:rsidR="00C06D88" w:rsidRPr="002F3BB0">
        <w:t xml:space="preserve"> 2013-14</w:t>
      </w:r>
    </w:p>
    <w:tbl>
      <w:tblPr>
        <w:tblStyle w:val="LightList-Accent5"/>
        <w:tblpPr w:leftFromText="180" w:rightFromText="180" w:vertAnchor="page" w:horzAnchor="margin" w:tblpY="2006"/>
        <w:tblW w:w="15331" w:type="dxa"/>
        <w:tblLayout w:type="fixed"/>
        <w:tblLook w:val="01E0" w:firstRow="1" w:lastRow="1" w:firstColumn="1" w:lastColumn="1" w:noHBand="0" w:noVBand="0"/>
        <w:tblDescription w:val="State wide accepted complaints by area"/>
      </w:tblPr>
      <w:tblGrid>
        <w:gridCol w:w="2071"/>
        <w:gridCol w:w="1713"/>
        <w:gridCol w:w="1632"/>
        <w:gridCol w:w="1719"/>
        <w:gridCol w:w="1657"/>
        <w:gridCol w:w="1569"/>
        <w:gridCol w:w="1338"/>
        <w:gridCol w:w="1998"/>
        <w:gridCol w:w="809"/>
        <w:gridCol w:w="825"/>
      </w:tblGrid>
      <w:tr w:rsidR="006F10C7" w:rsidRPr="002F3BB0" w:rsidTr="007447D3">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2018" w:type="dxa"/>
            <w:vMerge w:val="restart"/>
          </w:tcPr>
          <w:p w:rsidR="006F10C7" w:rsidRPr="002F3BB0" w:rsidRDefault="006F10C7" w:rsidP="006F10C7">
            <w:pPr>
              <w:spacing w:before="40" w:after="40"/>
              <w:jc w:val="center"/>
              <w:rPr>
                <w:rFonts w:cstheme="minorHAnsi"/>
                <w:i w:val="0"/>
                <w:color w:val="FF0000"/>
                <w:lang w:eastAsia="en-AU"/>
              </w:rPr>
            </w:pPr>
          </w:p>
        </w:tc>
        <w:tc>
          <w:tcPr>
            <w:cnfStyle w:val="000010000000" w:firstRow="0" w:lastRow="0" w:firstColumn="0" w:lastColumn="0" w:oddVBand="1" w:evenVBand="0" w:oddHBand="0" w:evenHBand="0" w:firstRowFirstColumn="0" w:firstRowLastColumn="0" w:lastRowFirstColumn="0" w:lastRowLastColumn="0"/>
            <w:tcW w:w="1668" w:type="dxa"/>
            <w:vMerge w:val="restart"/>
          </w:tcPr>
          <w:p w:rsidR="006F10C7" w:rsidRPr="002F3BB0" w:rsidRDefault="006F10C7" w:rsidP="006F10C7">
            <w:pPr>
              <w:keepNext/>
              <w:keepLines/>
              <w:tabs>
                <w:tab w:val="left" w:pos="2340"/>
              </w:tabs>
              <w:spacing w:before="40" w:after="40"/>
              <w:jc w:val="center"/>
              <w:rPr>
                <w:rFonts w:cstheme="minorHAnsi"/>
                <w:b w:val="0"/>
                <w:bCs w:val="0"/>
                <w:i w:val="0"/>
                <w:lang w:eastAsia="en-AU"/>
              </w:rPr>
            </w:pPr>
            <w:r w:rsidRPr="002F3BB0">
              <w:rPr>
                <w:rFonts w:cstheme="minorHAnsi"/>
                <w:b w:val="0"/>
                <w:bCs w:val="0"/>
                <w:i w:val="0"/>
                <w:lang w:eastAsia="en-AU"/>
              </w:rPr>
              <w:t>Discrimination</w:t>
            </w:r>
          </w:p>
        </w:tc>
        <w:tc>
          <w:tcPr>
            <w:tcW w:w="1589" w:type="dxa"/>
            <w:vMerge w:val="restart"/>
          </w:tcPr>
          <w:p w:rsidR="006F10C7" w:rsidRPr="002F3BB0" w:rsidRDefault="006F10C7" w:rsidP="006F10C7">
            <w:pPr>
              <w:keepNext/>
              <w:keepLines/>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lang w:eastAsia="en-AU"/>
              </w:rPr>
            </w:pPr>
            <w:r w:rsidRPr="002F3BB0">
              <w:rPr>
                <w:rFonts w:cstheme="minorHAnsi"/>
                <w:b w:val="0"/>
                <w:bCs w:val="0"/>
                <w:i w:val="0"/>
                <w:lang w:eastAsia="en-AU"/>
              </w:rPr>
              <w:t>Request or encourage a breach</w:t>
            </w:r>
          </w:p>
        </w:tc>
        <w:tc>
          <w:tcPr>
            <w:cnfStyle w:val="000010000000" w:firstRow="0" w:lastRow="0" w:firstColumn="0" w:lastColumn="0" w:oddVBand="1" w:evenVBand="0" w:oddHBand="0" w:evenHBand="0" w:firstRowFirstColumn="0" w:firstRowLastColumn="0" w:lastRowFirstColumn="0" w:lastRowLastColumn="0"/>
            <w:tcW w:w="1674" w:type="dxa"/>
            <w:vMerge w:val="restart"/>
          </w:tcPr>
          <w:p w:rsidR="006F10C7" w:rsidRPr="002F3BB0" w:rsidRDefault="006F10C7" w:rsidP="006F10C7">
            <w:pPr>
              <w:keepNext/>
              <w:keepLines/>
              <w:tabs>
                <w:tab w:val="left" w:pos="2340"/>
              </w:tabs>
              <w:spacing w:before="40" w:after="40"/>
              <w:jc w:val="center"/>
              <w:rPr>
                <w:rFonts w:cstheme="minorHAnsi"/>
                <w:b w:val="0"/>
                <w:bCs w:val="0"/>
                <w:i w:val="0"/>
                <w:lang w:eastAsia="en-AU"/>
              </w:rPr>
            </w:pPr>
            <w:r w:rsidRPr="002F3BB0">
              <w:rPr>
                <w:rFonts w:cstheme="minorHAnsi"/>
                <w:b w:val="0"/>
                <w:bCs w:val="0"/>
                <w:i w:val="0"/>
                <w:lang w:eastAsia="en-AU"/>
              </w:rPr>
              <w:t>Sexual harassment</w:t>
            </w:r>
          </w:p>
        </w:tc>
        <w:tc>
          <w:tcPr>
            <w:tcW w:w="1614" w:type="dxa"/>
            <w:vMerge w:val="restart"/>
          </w:tcPr>
          <w:p w:rsidR="006F10C7" w:rsidRPr="002F3BB0" w:rsidRDefault="006F10C7" w:rsidP="006F10C7">
            <w:pPr>
              <w:keepNext/>
              <w:keepLines/>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lang w:eastAsia="en-AU"/>
              </w:rPr>
            </w:pPr>
            <w:r w:rsidRPr="002F3BB0">
              <w:rPr>
                <w:rFonts w:cstheme="minorHAnsi"/>
                <w:b w:val="0"/>
                <w:bCs w:val="0"/>
                <w:i w:val="0"/>
                <w:lang w:eastAsia="en-AU"/>
              </w:rPr>
              <w:t>Unnecessary questions</w:t>
            </w:r>
          </w:p>
        </w:tc>
        <w:tc>
          <w:tcPr>
            <w:cnfStyle w:val="000010000000" w:firstRow="0" w:lastRow="0" w:firstColumn="0" w:lastColumn="0" w:oddVBand="1" w:evenVBand="0" w:oddHBand="0" w:evenHBand="0" w:firstRowFirstColumn="0" w:firstRowLastColumn="0" w:lastRowFirstColumn="0" w:lastRowLastColumn="0"/>
            <w:tcW w:w="1528" w:type="dxa"/>
            <w:vMerge w:val="restart"/>
          </w:tcPr>
          <w:p w:rsidR="006F10C7" w:rsidRPr="002F3BB0" w:rsidRDefault="006F10C7" w:rsidP="006F10C7">
            <w:pPr>
              <w:keepNext/>
              <w:keepLines/>
              <w:tabs>
                <w:tab w:val="left" w:pos="2340"/>
              </w:tabs>
              <w:spacing w:before="40" w:after="40"/>
              <w:jc w:val="center"/>
              <w:rPr>
                <w:rFonts w:cstheme="minorHAnsi"/>
                <w:b w:val="0"/>
                <w:bCs w:val="0"/>
                <w:i w:val="0"/>
                <w:lang w:eastAsia="en-AU"/>
              </w:rPr>
            </w:pPr>
            <w:r w:rsidRPr="002F3BB0">
              <w:rPr>
                <w:rFonts w:cstheme="minorHAnsi"/>
                <w:b w:val="0"/>
                <w:bCs w:val="0"/>
                <w:i w:val="0"/>
                <w:lang w:eastAsia="en-AU"/>
              </w:rPr>
              <w:t>Victimisation</w:t>
            </w:r>
          </w:p>
        </w:tc>
        <w:tc>
          <w:tcPr>
            <w:tcW w:w="1303" w:type="dxa"/>
            <w:vMerge w:val="restart"/>
          </w:tcPr>
          <w:p w:rsidR="006F10C7" w:rsidRPr="002F3BB0" w:rsidRDefault="006F10C7" w:rsidP="006F10C7">
            <w:pPr>
              <w:keepNext/>
              <w:keepLines/>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lang w:eastAsia="en-AU"/>
              </w:rPr>
            </w:pPr>
            <w:r w:rsidRPr="002F3BB0">
              <w:rPr>
                <w:rFonts w:cstheme="minorHAnsi"/>
                <w:b w:val="0"/>
                <w:bCs w:val="0"/>
                <w:i w:val="0"/>
                <w:lang w:eastAsia="en-AU"/>
              </w:rPr>
              <w:t>Vilification</w:t>
            </w:r>
          </w:p>
        </w:tc>
        <w:tc>
          <w:tcPr>
            <w:cnfStyle w:val="000010000000" w:firstRow="0" w:lastRow="0" w:firstColumn="0" w:lastColumn="0" w:oddVBand="1" w:evenVBand="0" w:oddHBand="0" w:evenHBand="0" w:firstRowFirstColumn="0" w:firstRowLastColumn="0" w:lastRowFirstColumn="0" w:lastRowLastColumn="0"/>
            <w:tcW w:w="1946" w:type="dxa"/>
            <w:vMerge w:val="restart"/>
          </w:tcPr>
          <w:p w:rsidR="006F10C7" w:rsidRPr="002F3BB0" w:rsidRDefault="006F10C7" w:rsidP="006F10C7">
            <w:pPr>
              <w:keepNext/>
              <w:keepLines/>
              <w:tabs>
                <w:tab w:val="left" w:pos="2340"/>
              </w:tabs>
              <w:spacing w:before="40" w:after="40"/>
              <w:jc w:val="center"/>
              <w:rPr>
                <w:rFonts w:cstheme="minorHAnsi"/>
                <w:b w:val="0"/>
                <w:bCs w:val="0"/>
                <w:i w:val="0"/>
                <w:lang w:eastAsia="en-AU"/>
              </w:rPr>
            </w:pPr>
            <w:proofErr w:type="spellStart"/>
            <w:r w:rsidRPr="002F3BB0">
              <w:rPr>
                <w:rFonts w:cstheme="minorHAnsi"/>
                <w:b w:val="0"/>
                <w:bCs w:val="0"/>
                <w:i w:val="0"/>
                <w:lang w:eastAsia="en-AU"/>
              </w:rPr>
              <w:t>Whistleblower</w:t>
            </w:r>
            <w:proofErr w:type="spellEnd"/>
            <w:r w:rsidRPr="002F3BB0">
              <w:rPr>
                <w:rFonts w:cstheme="minorHAnsi"/>
                <w:b w:val="0"/>
                <w:bCs w:val="0"/>
                <w:i w:val="0"/>
                <w:lang w:eastAsia="en-AU"/>
              </w:rPr>
              <w:t xml:space="preserve"> Reprisal</w:t>
            </w:r>
          </w:p>
        </w:tc>
        <w:tc>
          <w:tcPr>
            <w:cnfStyle w:val="000100000000" w:firstRow="0" w:lastRow="0" w:firstColumn="0" w:lastColumn="1" w:oddVBand="0" w:evenVBand="0" w:oddHBand="0" w:evenHBand="0" w:firstRowFirstColumn="0" w:firstRowLastColumn="0" w:lastRowFirstColumn="0" w:lastRowLastColumn="0"/>
            <w:tcW w:w="1591" w:type="dxa"/>
            <w:gridSpan w:val="2"/>
          </w:tcPr>
          <w:p w:rsidR="006F10C7" w:rsidRPr="002F3BB0" w:rsidRDefault="006F10C7" w:rsidP="006F10C7">
            <w:pPr>
              <w:keepNext/>
              <w:keepLines/>
              <w:tabs>
                <w:tab w:val="left" w:pos="2340"/>
              </w:tabs>
              <w:spacing w:before="40" w:after="40"/>
              <w:jc w:val="center"/>
              <w:rPr>
                <w:rFonts w:cstheme="minorHAnsi"/>
                <w:b w:val="0"/>
                <w:bCs w:val="0"/>
                <w:i w:val="0"/>
                <w:lang w:eastAsia="en-AU"/>
              </w:rPr>
            </w:pPr>
            <w:r w:rsidRPr="002F3BB0">
              <w:rPr>
                <w:rFonts w:cstheme="minorHAnsi"/>
                <w:b w:val="0"/>
                <w:bCs w:val="0"/>
                <w:i w:val="0"/>
                <w:lang w:eastAsia="en-AU"/>
              </w:rPr>
              <w:t>Total</w:t>
            </w:r>
          </w:p>
        </w:tc>
      </w:tr>
      <w:tr w:rsidR="006F10C7" w:rsidRPr="002F3BB0" w:rsidTr="007447D3">
        <w:trPr>
          <w:cnfStyle w:val="100000000000" w:firstRow="1" w:lastRow="0" w:firstColumn="0" w:lastColumn="0" w:oddVBand="0" w:evenVBand="0" w:oddHBand="0" w:evenHBand="0" w:firstRowFirstColumn="0" w:firstRowLastColumn="0" w:lastRowFirstColumn="0" w:lastRowLastColumn="0"/>
          <w:trHeight w:val="291"/>
          <w:tblHeader/>
        </w:trPr>
        <w:tc>
          <w:tcPr>
            <w:cnfStyle w:val="001000000000" w:firstRow="0" w:lastRow="0" w:firstColumn="1" w:lastColumn="0" w:oddVBand="0" w:evenVBand="0" w:oddHBand="0" w:evenHBand="0" w:firstRowFirstColumn="0" w:firstRowLastColumn="0" w:lastRowFirstColumn="0" w:lastRowLastColumn="0"/>
            <w:tcW w:w="2018" w:type="dxa"/>
            <w:vMerge/>
          </w:tcPr>
          <w:p w:rsidR="006F10C7" w:rsidRPr="002F3BB0" w:rsidRDefault="006F10C7" w:rsidP="006F10C7">
            <w:pPr>
              <w:spacing w:before="40" w:after="40"/>
              <w:jc w:val="center"/>
              <w:rPr>
                <w:rFonts w:cstheme="minorHAnsi"/>
                <w:i w:val="0"/>
                <w:color w:val="FF0000"/>
                <w:lang w:eastAsia="en-AU"/>
              </w:rPr>
            </w:pPr>
          </w:p>
        </w:tc>
        <w:tc>
          <w:tcPr>
            <w:cnfStyle w:val="000010000000" w:firstRow="0" w:lastRow="0" w:firstColumn="0" w:lastColumn="0" w:oddVBand="1" w:evenVBand="0" w:oddHBand="0" w:evenHBand="0" w:firstRowFirstColumn="0" w:firstRowLastColumn="0" w:lastRowFirstColumn="0" w:lastRowLastColumn="0"/>
            <w:tcW w:w="1668" w:type="dxa"/>
            <w:vMerge/>
          </w:tcPr>
          <w:p w:rsidR="006F10C7" w:rsidRPr="002F3BB0" w:rsidRDefault="006F10C7" w:rsidP="006F10C7">
            <w:pPr>
              <w:keepNext/>
              <w:keepLines/>
              <w:tabs>
                <w:tab w:val="left" w:pos="2340"/>
              </w:tabs>
              <w:spacing w:before="40" w:after="40"/>
              <w:jc w:val="center"/>
              <w:rPr>
                <w:rFonts w:cstheme="minorHAnsi"/>
                <w:b w:val="0"/>
                <w:bCs w:val="0"/>
                <w:i w:val="0"/>
                <w:lang w:eastAsia="en-AU"/>
              </w:rPr>
            </w:pPr>
          </w:p>
        </w:tc>
        <w:tc>
          <w:tcPr>
            <w:tcW w:w="1589" w:type="dxa"/>
            <w:vMerge/>
          </w:tcPr>
          <w:p w:rsidR="006F10C7" w:rsidRPr="002F3BB0" w:rsidRDefault="006F10C7" w:rsidP="006F10C7">
            <w:pPr>
              <w:keepNext/>
              <w:keepLines/>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lang w:eastAsia="en-AU"/>
              </w:rPr>
            </w:pPr>
          </w:p>
        </w:tc>
        <w:tc>
          <w:tcPr>
            <w:cnfStyle w:val="000010000000" w:firstRow="0" w:lastRow="0" w:firstColumn="0" w:lastColumn="0" w:oddVBand="1" w:evenVBand="0" w:oddHBand="0" w:evenHBand="0" w:firstRowFirstColumn="0" w:firstRowLastColumn="0" w:lastRowFirstColumn="0" w:lastRowLastColumn="0"/>
            <w:tcW w:w="1674" w:type="dxa"/>
            <w:vMerge/>
          </w:tcPr>
          <w:p w:rsidR="006F10C7" w:rsidRPr="002F3BB0" w:rsidRDefault="006F10C7" w:rsidP="006F10C7">
            <w:pPr>
              <w:keepNext/>
              <w:keepLines/>
              <w:tabs>
                <w:tab w:val="left" w:pos="2340"/>
              </w:tabs>
              <w:spacing w:before="40" w:after="40"/>
              <w:jc w:val="center"/>
              <w:rPr>
                <w:rFonts w:cstheme="minorHAnsi"/>
                <w:b w:val="0"/>
                <w:bCs w:val="0"/>
                <w:i w:val="0"/>
                <w:lang w:eastAsia="en-AU"/>
              </w:rPr>
            </w:pPr>
          </w:p>
        </w:tc>
        <w:tc>
          <w:tcPr>
            <w:tcW w:w="1614" w:type="dxa"/>
            <w:vMerge/>
          </w:tcPr>
          <w:p w:rsidR="006F10C7" w:rsidRPr="002F3BB0" w:rsidRDefault="006F10C7" w:rsidP="006F10C7">
            <w:pPr>
              <w:keepNext/>
              <w:keepLines/>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lang w:eastAsia="en-AU"/>
              </w:rPr>
            </w:pPr>
          </w:p>
        </w:tc>
        <w:tc>
          <w:tcPr>
            <w:cnfStyle w:val="000010000000" w:firstRow="0" w:lastRow="0" w:firstColumn="0" w:lastColumn="0" w:oddVBand="1" w:evenVBand="0" w:oddHBand="0" w:evenHBand="0" w:firstRowFirstColumn="0" w:firstRowLastColumn="0" w:lastRowFirstColumn="0" w:lastRowLastColumn="0"/>
            <w:tcW w:w="1528" w:type="dxa"/>
            <w:vMerge/>
          </w:tcPr>
          <w:p w:rsidR="006F10C7" w:rsidRPr="002F3BB0" w:rsidRDefault="006F10C7" w:rsidP="006F10C7">
            <w:pPr>
              <w:keepNext/>
              <w:keepLines/>
              <w:tabs>
                <w:tab w:val="left" w:pos="2340"/>
              </w:tabs>
              <w:spacing w:before="40" w:after="40"/>
              <w:jc w:val="center"/>
              <w:rPr>
                <w:rFonts w:cstheme="minorHAnsi"/>
                <w:b w:val="0"/>
                <w:bCs w:val="0"/>
                <w:i w:val="0"/>
                <w:lang w:eastAsia="en-AU"/>
              </w:rPr>
            </w:pPr>
          </w:p>
        </w:tc>
        <w:tc>
          <w:tcPr>
            <w:tcW w:w="1303" w:type="dxa"/>
            <w:vMerge/>
          </w:tcPr>
          <w:p w:rsidR="006F10C7" w:rsidRPr="002F3BB0" w:rsidRDefault="006F10C7" w:rsidP="006F10C7">
            <w:pPr>
              <w:keepNext/>
              <w:keepLines/>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lang w:eastAsia="en-AU"/>
              </w:rPr>
            </w:pPr>
          </w:p>
        </w:tc>
        <w:tc>
          <w:tcPr>
            <w:cnfStyle w:val="000010000000" w:firstRow="0" w:lastRow="0" w:firstColumn="0" w:lastColumn="0" w:oddVBand="1" w:evenVBand="0" w:oddHBand="0" w:evenHBand="0" w:firstRowFirstColumn="0" w:firstRowLastColumn="0" w:lastRowFirstColumn="0" w:lastRowLastColumn="0"/>
            <w:tcW w:w="1946" w:type="dxa"/>
            <w:vMerge/>
          </w:tcPr>
          <w:p w:rsidR="006F10C7" w:rsidRPr="002F3BB0" w:rsidRDefault="006F10C7" w:rsidP="006F10C7">
            <w:pPr>
              <w:keepNext/>
              <w:keepLines/>
              <w:tabs>
                <w:tab w:val="left" w:pos="2340"/>
              </w:tabs>
              <w:spacing w:before="40" w:after="40"/>
              <w:jc w:val="center"/>
              <w:rPr>
                <w:rFonts w:cstheme="minorHAnsi"/>
                <w:b w:val="0"/>
                <w:bCs w:val="0"/>
                <w:i w:val="0"/>
                <w:lang w:eastAsia="en-AU"/>
              </w:rPr>
            </w:pPr>
          </w:p>
        </w:tc>
        <w:tc>
          <w:tcPr>
            <w:tcW w:w="788" w:type="dxa"/>
          </w:tcPr>
          <w:p w:rsidR="006F10C7" w:rsidRPr="002F3BB0" w:rsidRDefault="006F10C7" w:rsidP="006F10C7">
            <w:pPr>
              <w:keepNext/>
              <w:keepLines/>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lang w:eastAsia="en-AU"/>
              </w:rPr>
            </w:pPr>
            <w:r w:rsidRPr="002F3BB0">
              <w:rPr>
                <w:rFonts w:cstheme="minorHAnsi"/>
                <w:i w:val="0"/>
                <w:lang w:eastAsia="en-AU"/>
              </w:rPr>
              <w:t>#</w:t>
            </w:r>
          </w:p>
        </w:tc>
        <w:tc>
          <w:tcPr>
            <w:cnfStyle w:val="000100000000" w:firstRow="0" w:lastRow="0" w:firstColumn="0" w:lastColumn="1" w:oddVBand="0" w:evenVBand="0" w:oddHBand="0" w:evenHBand="0" w:firstRowFirstColumn="0" w:firstRowLastColumn="0" w:lastRowFirstColumn="0" w:lastRowLastColumn="0"/>
            <w:tcW w:w="763" w:type="dxa"/>
          </w:tcPr>
          <w:p w:rsidR="006F10C7" w:rsidRPr="002F3BB0" w:rsidRDefault="006F10C7" w:rsidP="006F10C7">
            <w:pPr>
              <w:keepNext/>
              <w:keepLines/>
              <w:tabs>
                <w:tab w:val="left" w:pos="2340"/>
              </w:tabs>
              <w:spacing w:before="40" w:after="40"/>
              <w:jc w:val="center"/>
              <w:rPr>
                <w:rFonts w:cstheme="minorHAnsi"/>
                <w:b w:val="0"/>
                <w:bCs w:val="0"/>
                <w:i w:val="0"/>
                <w:lang w:eastAsia="en-AU"/>
              </w:rPr>
            </w:pPr>
            <w:r w:rsidRPr="002F3BB0">
              <w:rPr>
                <w:rFonts w:cstheme="minorHAnsi"/>
                <w:b w:val="0"/>
                <w:bCs w:val="0"/>
                <w:i w:val="0"/>
                <w:lang w:eastAsia="en-AU"/>
              </w:rPr>
              <w:t>%</w:t>
            </w:r>
          </w:p>
        </w:tc>
      </w:tr>
      <w:tr w:rsidR="006F10C7" w:rsidRPr="002F3BB0" w:rsidTr="00D95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Pr>
          <w:p w:rsidR="006F10C7" w:rsidRPr="00D9523F" w:rsidRDefault="006F10C7" w:rsidP="006F10C7">
            <w:pPr>
              <w:spacing w:before="40" w:after="40"/>
              <w:rPr>
                <w:rFonts w:cstheme="minorHAnsi"/>
                <w:b w:val="0"/>
                <w:i w:val="0"/>
                <w:lang w:eastAsia="en-AU"/>
              </w:rPr>
            </w:pPr>
            <w:r w:rsidRPr="00D9523F">
              <w:rPr>
                <w:rFonts w:cstheme="minorHAnsi"/>
                <w:b w:val="0"/>
                <w:i w:val="0"/>
                <w:lang w:eastAsia="en-AU"/>
              </w:rPr>
              <w:t>Accommodation</w:t>
            </w:r>
          </w:p>
        </w:tc>
        <w:tc>
          <w:tcPr>
            <w:cnfStyle w:val="000010000000" w:firstRow="0" w:lastRow="0" w:firstColumn="0" w:lastColumn="0" w:oddVBand="1" w:evenVBand="0" w:oddHBand="0" w:evenHBand="0" w:firstRowFirstColumn="0" w:firstRowLastColumn="0" w:lastRowFirstColumn="0" w:lastRowLastColumn="0"/>
            <w:tcW w:w="166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27</w:t>
            </w:r>
          </w:p>
        </w:tc>
        <w:tc>
          <w:tcPr>
            <w:tcW w:w="1589" w:type="dxa"/>
          </w:tcPr>
          <w:p w:rsidR="006F10C7" w:rsidRPr="00D9523F" w:rsidRDefault="00A3254A"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674"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1</w:t>
            </w:r>
          </w:p>
        </w:tc>
        <w:tc>
          <w:tcPr>
            <w:tcW w:w="1614"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1</w:t>
            </w:r>
          </w:p>
        </w:tc>
        <w:tc>
          <w:tcPr>
            <w:cnfStyle w:val="000010000000" w:firstRow="0" w:lastRow="0" w:firstColumn="0" w:lastColumn="0" w:oddVBand="1" w:evenVBand="0" w:oddHBand="0" w:evenHBand="0" w:firstRowFirstColumn="0" w:firstRowLastColumn="0" w:lastRowFirstColumn="0" w:lastRowLastColumn="0"/>
            <w:tcW w:w="1528"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1303"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2</w:t>
            </w:r>
          </w:p>
        </w:tc>
        <w:tc>
          <w:tcPr>
            <w:cnfStyle w:val="000010000000" w:firstRow="0" w:lastRow="0" w:firstColumn="0" w:lastColumn="0" w:oddVBand="1" w:evenVBand="0" w:oddHBand="0" w:evenHBand="0" w:firstRowFirstColumn="0" w:firstRowLastColumn="0" w:lastRowFirstColumn="0" w:lastRowLastColumn="0"/>
            <w:tcW w:w="1946"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788"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31</w:t>
            </w:r>
          </w:p>
        </w:tc>
        <w:tc>
          <w:tcPr>
            <w:cnfStyle w:val="000100000000" w:firstRow="0" w:lastRow="0" w:firstColumn="0" w:lastColumn="1" w:oddVBand="0" w:evenVBand="0" w:oddHBand="0" w:evenHBand="0" w:firstRowFirstColumn="0" w:firstRowLastColumn="0" w:lastRowFirstColumn="0" w:lastRowLastColumn="0"/>
            <w:tcW w:w="763" w:type="dxa"/>
          </w:tcPr>
          <w:p w:rsidR="006F10C7" w:rsidRPr="00D9523F" w:rsidRDefault="00C06D88" w:rsidP="006F10C7">
            <w:pPr>
              <w:spacing w:before="40" w:after="40"/>
              <w:jc w:val="right"/>
              <w:rPr>
                <w:rFonts w:cstheme="minorHAnsi"/>
                <w:b w:val="0"/>
                <w:i w:val="0"/>
                <w:lang w:eastAsia="en-AU"/>
              </w:rPr>
            </w:pPr>
            <w:r w:rsidRPr="00D9523F">
              <w:rPr>
                <w:rFonts w:cstheme="minorHAnsi"/>
                <w:b w:val="0"/>
                <w:i w:val="0"/>
                <w:lang w:eastAsia="en-AU"/>
              </w:rPr>
              <w:t>5.5</w:t>
            </w:r>
          </w:p>
        </w:tc>
      </w:tr>
      <w:tr w:rsidR="006F10C7" w:rsidRPr="002F3BB0" w:rsidTr="00D9523F">
        <w:tc>
          <w:tcPr>
            <w:cnfStyle w:val="001000000000" w:firstRow="0" w:lastRow="0" w:firstColumn="1" w:lastColumn="0" w:oddVBand="0" w:evenVBand="0" w:oddHBand="0" w:evenHBand="0" w:firstRowFirstColumn="0" w:firstRowLastColumn="0" w:lastRowFirstColumn="0" w:lastRowLastColumn="0"/>
            <w:tcW w:w="2018" w:type="dxa"/>
          </w:tcPr>
          <w:p w:rsidR="006F10C7" w:rsidRPr="00D9523F" w:rsidRDefault="006F10C7" w:rsidP="006F10C7">
            <w:pPr>
              <w:spacing w:before="40" w:after="40"/>
              <w:rPr>
                <w:rFonts w:cstheme="minorHAnsi"/>
                <w:b w:val="0"/>
                <w:i w:val="0"/>
                <w:lang w:eastAsia="en-AU"/>
              </w:rPr>
            </w:pPr>
            <w:r w:rsidRPr="00D9523F">
              <w:rPr>
                <w:rFonts w:cstheme="minorHAnsi"/>
                <w:b w:val="0"/>
                <w:i w:val="0"/>
                <w:lang w:eastAsia="en-AU"/>
              </w:rPr>
              <w:t>State laws and programs</w:t>
            </w:r>
          </w:p>
        </w:tc>
        <w:tc>
          <w:tcPr>
            <w:cnfStyle w:val="000010000000" w:firstRow="0" w:lastRow="0" w:firstColumn="0" w:lastColumn="0" w:oddVBand="1" w:evenVBand="0" w:oddHBand="0" w:evenHBand="0" w:firstRowFirstColumn="0" w:firstRowLastColumn="0" w:lastRowFirstColumn="0" w:lastRowLastColumn="0"/>
            <w:tcW w:w="166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12</w:t>
            </w:r>
          </w:p>
        </w:tc>
        <w:tc>
          <w:tcPr>
            <w:tcW w:w="1589" w:type="dxa"/>
          </w:tcPr>
          <w:p w:rsidR="006F10C7" w:rsidRPr="00D9523F" w:rsidRDefault="00A3254A"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674"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1614" w:type="dxa"/>
          </w:tcPr>
          <w:p w:rsidR="006F10C7" w:rsidRPr="00D9523F" w:rsidRDefault="00A3254A"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52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1</w:t>
            </w:r>
          </w:p>
        </w:tc>
        <w:tc>
          <w:tcPr>
            <w:tcW w:w="1303" w:type="dxa"/>
          </w:tcPr>
          <w:p w:rsidR="006F10C7" w:rsidRPr="00D9523F" w:rsidRDefault="00A3254A"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946"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788" w:type="dxa"/>
          </w:tcPr>
          <w:p w:rsidR="006F10C7" w:rsidRPr="00D9523F" w:rsidRDefault="00C06D88"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13</w:t>
            </w:r>
          </w:p>
        </w:tc>
        <w:tc>
          <w:tcPr>
            <w:cnfStyle w:val="000100000000" w:firstRow="0" w:lastRow="0" w:firstColumn="0" w:lastColumn="1" w:oddVBand="0" w:evenVBand="0" w:oddHBand="0" w:evenHBand="0" w:firstRowFirstColumn="0" w:firstRowLastColumn="0" w:lastRowFirstColumn="0" w:lastRowLastColumn="0"/>
            <w:tcW w:w="763" w:type="dxa"/>
          </w:tcPr>
          <w:p w:rsidR="006F10C7" w:rsidRPr="00D9523F" w:rsidRDefault="00C06D88" w:rsidP="006F10C7">
            <w:pPr>
              <w:spacing w:before="40" w:after="40"/>
              <w:jc w:val="right"/>
              <w:rPr>
                <w:rFonts w:cstheme="minorHAnsi"/>
                <w:b w:val="0"/>
                <w:i w:val="0"/>
                <w:lang w:eastAsia="en-AU"/>
              </w:rPr>
            </w:pPr>
            <w:r w:rsidRPr="00D9523F">
              <w:rPr>
                <w:rFonts w:cstheme="minorHAnsi"/>
                <w:b w:val="0"/>
                <w:i w:val="0"/>
                <w:lang w:eastAsia="en-AU"/>
              </w:rPr>
              <w:t>2.3</w:t>
            </w:r>
          </w:p>
        </w:tc>
      </w:tr>
      <w:tr w:rsidR="006F10C7" w:rsidRPr="002F3BB0" w:rsidTr="00D95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18" w:type="dxa"/>
          </w:tcPr>
          <w:p w:rsidR="006F10C7" w:rsidRPr="00D9523F" w:rsidRDefault="006F10C7" w:rsidP="006F10C7">
            <w:pPr>
              <w:spacing w:before="40" w:after="40"/>
              <w:rPr>
                <w:rFonts w:cstheme="minorHAnsi"/>
                <w:b w:val="0"/>
                <w:i w:val="0"/>
                <w:lang w:eastAsia="en-AU"/>
              </w:rPr>
            </w:pPr>
            <w:r w:rsidRPr="00D9523F">
              <w:rPr>
                <w:rFonts w:cstheme="minorHAnsi"/>
                <w:b w:val="0"/>
                <w:i w:val="0"/>
                <w:lang w:eastAsia="en-AU"/>
              </w:rPr>
              <w:t>Goods and services</w:t>
            </w:r>
          </w:p>
        </w:tc>
        <w:tc>
          <w:tcPr>
            <w:cnfStyle w:val="000010000000" w:firstRow="0" w:lastRow="0" w:firstColumn="0" w:lastColumn="0" w:oddVBand="1" w:evenVBand="0" w:oddHBand="0" w:evenHBand="0" w:firstRowFirstColumn="0" w:firstRowLastColumn="0" w:lastRowFirstColumn="0" w:lastRowLastColumn="0"/>
            <w:tcW w:w="166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75</w:t>
            </w:r>
          </w:p>
        </w:tc>
        <w:tc>
          <w:tcPr>
            <w:tcW w:w="1589" w:type="dxa"/>
          </w:tcPr>
          <w:p w:rsidR="006F10C7" w:rsidRPr="00D9523F" w:rsidRDefault="00A3254A"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674"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1614"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2</w:t>
            </w:r>
          </w:p>
        </w:tc>
        <w:tc>
          <w:tcPr>
            <w:cnfStyle w:val="000010000000" w:firstRow="0" w:lastRow="0" w:firstColumn="0" w:lastColumn="0" w:oddVBand="1" w:evenVBand="0" w:oddHBand="0" w:evenHBand="0" w:firstRowFirstColumn="0" w:firstRowLastColumn="0" w:lastRowFirstColumn="0" w:lastRowLastColumn="0"/>
            <w:tcW w:w="152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3</w:t>
            </w:r>
          </w:p>
        </w:tc>
        <w:tc>
          <w:tcPr>
            <w:tcW w:w="1303"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1</w:t>
            </w:r>
          </w:p>
        </w:tc>
        <w:tc>
          <w:tcPr>
            <w:cnfStyle w:val="000010000000" w:firstRow="0" w:lastRow="0" w:firstColumn="0" w:lastColumn="0" w:oddVBand="1" w:evenVBand="0" w:oddHBand="0" w:evenHBand="0" w:firstRowFirstColumn="0" w:firstRowLastColumn="0" w:lastRowFirstColumn="0" w:lastRowLastColumn="0"/>
            <w:tcW w:w="1946"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788"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81</w:t>
            </w:r>
          </w:p>
        </w:tc>
        <w:tc>
          <w:tcPr>
            <w:cnfStyle w:val="000100000000" w:firstRow="0" w:lastRow="0" w:firstColumn="0" w:lastColumn="1" w:oddVBand="0" w:evenVBand="0" w:oddHBand="0" w:evenHBand="0" w:firstRowFirstColumn="0" w:firstRowLastColumn="0" w:lastRowFirstColumn="0" w:lastRowLastColumn="0"/>
            <w:tcW w:w="763" w:type="dxa"/>
          </w:tcPr>
          <w:p w:rsidR="006F10C7" w:rsidRPr="00D9523F" w:rsidRDefault="00C06D88" w:rsidP="006F10C7">
            <w:pPr>
              <w:spacing w:before="40" w:after="40"/>
              <w:jc w:val="right"/>
              <w:rPr>
                <w:rFonts w:cstheme="minorHAnsi"/>
                <w:b w:val="0"/>
                <w:i w:val="0"/>
                <w:lang w:eastAsia="en-AU"/>
              </w:rPr>
            </w:pPr>
            <w:r w:rsidRPr="00D9523F">
              <w:rPr>
                <w:rFonts w:cstheme="minorHAnsi"/>
                <w:b w:val="0"/>
                <w:i w:val="0"/>
                <w:lang w:eastAsia="en-AU"/>
              </w:rPr>
              <w:t>14.4</w:t>
            </w:r>
          </w:p>
        </w:tc>
      </w:tr>
      <w:tr w:rsidR="006F10C7" w:rsidRPr="002F3BB0" w:rsidTr="00D9523F">
        <w:tc>
          <w:tcPr>
            <w:cnfStyle w:val="001000000000" w:firstRow="0" w:lastRow="0" w:firstColumn="1" w:lastColumn="0" w:oddVBand="0" w:evenVBand="0" w:oddHBand="0" w:evenHBand="0" w:firstRowFirstColumn="0" w:firstRowLastColumn="0" w:lastRowFirstColumn="0" w:lastRowLastColumn="0"/>
            <w:tcW w:w="2018" w:type="dxa"/>
          </w:tcPr>
          <w:p w:rsidR="006F10C7" w:rsidRPr="00D9523F" w:rsidRDefault="006F10C7" w:rsidP="006F10C7">
            <w:pPr>
              <w:spacing w:before="40" w:after="40"/>
              <w:rPr>
                <w:rFonts w:cstheme="minorHAnsi"/>
                <w:b w:val="0"/>
                <w:i w:val="0"/>
                <w:lang w:eastAsia="en-AU"/>
              </w:rPr>
            </w:pPr>
            <w:r w:rsidRPr="00D9523F">
              <w:rPr>
                <w:rFonts w:cstheme="minorHAnsi"/>
                <w:b w:val="0"/>
                <w:i w:val="0"/>
                <w:lang w:eastAsia="en-AU"/>
              </w:rPr>
              <w:t>Club membership and affairs</w:t>
            </w:r>
          </w:p>
        </w:tc>
        <w:tc>
          <w:tcPr>
            <w:cnfStyle w:val="000010000000" w:firstRow="0" w:lastRow="0" w:firstColumn="0" w:lastColumn="0" w:oddVBand="1" w:evenVBand="0" w:oddHBand="0" w:evenHBand="0" w:firstRowFirstColumn="0" w:firstRowLastColumn="0" w:lastRowFirstColumn="0" w:lastRowLastColumn="0"/>
            <w:tcW w:w="166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10</w:t>
            </w:r>
          </w:p>
        </w:tc>
        <w:tc>
          <w:tcPr>
            <w:tcW w:w="1589" w:type="dxa"/>
          </w:tcPr>
          <w:p w:rsidR="006F10C7" w:rsidRPr="00D9523F" w:rsidRDefault="00A3254A"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674"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1614" w:type="dxa"/>
          </w:tcPr>
          <w:p w:rsidR="006F10C7" w:rsidRPr="00D9523F" w:rsidRDefault="00A3254A"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52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1</w:t>
            </w:r>
          </w:p>
        </w:tc>
        <w:tc>
          <w:tcPr>
            <w:tcW w:w="1303" w:type="dxa"/>
          </w:tcPr>
          <w:p w:rsidR="006F10C7" w:rsidRPr="00D9523F" w:rsidRDefault="00A3254A"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946"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788" w:type="dxa"/>
          </w:tcPr>
          <w:p w:rsidR="006F10C7" w:rsidRPr="00D9523F" w:rsidRDefault="00C06D88"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11</w:t>
            </w:r>
          </w:p>
        </w:tc>
        <w:tc>
          <w:tcPr>
            <w:cnfStyle w:val="000100000000" w:firstRow="0" w:lastRow="0" w:firstColumn="0" w:lastColumn="1" w:oddVBand="0" w:evenVBand="0" w:oddHBand="0" w:evenHBand="0" w:firstRowFirstColumn="0" w:firstRowLastColumn="0" w:lastRowFirstColumn="0" w:lastRowLastColumn="0"/>
            <w:tcW w:w="763" w:type="dxa"/>
          </w:tcPr>
          <w:p w:rsidR="006F10C7" w:rsidRPr="00D9523F" w:rsidRDefault="00C06D88" w:rsidP="006F10C7">
            <w:pPr>
              <w:spacing w:before="40" w:after="40"/>
              <w:jc w:val="right"/>
              <w:rPr>
                <w:rFonts w:cstheme="minorHAnsi"/>
                <w:b w:val="0"/>
                <w:i w:val="0"/>
                <w:lang w:eastAsia="en-AU"/>
              </w:rPr>
            </w:pPr>
            <w:r w:rsidRPr="00D9523F">
              <w:rPr>
                <w:rFonts w:cstheme="minorHAnsi"/>
                <w:b w:val="0"/>
                <w:i w:val="0"/>
                <w:lang w:eastAsia="en-AU"/>
              </w:rPr>
              <w:t>2.0</w:t>
            </w:r>
          </w:p>
        </w:tc>
      </w:tr>
      <w:tr w:rsidR="006F10C7" w:rsidRPr="002F3BB0" w:rsidTr="00D95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Pr>
          <w:p w:rsidR="006F10C7" w:rsidRPr="00D9523F" w:rsidRDefault="006F10C7" w:rsidP="006F10C7">
            <w:pPr>
              <w:spacing w:before="40" w:after="40"/>
              <w:rPr>
                <w:rFonts w:cstheme="minorHAnsi"/>
                <w:b w:val="0"/>
                <w:i w:val="0"/>
                <w:lang w:eastAsia="en-AU"/>
              </w:rPr>
            </w:pPr>
            <w:r w:rsidRPr="00D9523F">
              <w:rPr>
                <w:rFonts w:cstheme="minorHAnsi"/>
                <w:b w:val="0"/>
                <w:i w:val="0"/>
                <w:lang w:eastAsia="en-AU"/>
              </w:rPr>
              <w:t>Superannuation and insurance</w:t>
            </w:r>
          </w:p>
        </w:tc>
        <w:tc>
          <w:tcPr>
            <w:cnfStyle w:val="000010000000" w:firstRow="0" w:lastRow="0" w:firstColumn="0" w:lastColumn="0" w:oddVBand="1" w:evenVBand="0" w:oddHBand="0" w:evenHBand="0" w:firstRowFirstColumn="0" w:firstRowLastColumn="0" w:lastRowFirstColumn="0" w:lastRowLastColumn="0"/>
            <w:tcW w:w="166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1</w:t>
            </w:r>
          </w:p>
        </w:tc>
        <w:tc>
          <w:tcPr>
            <w:tcW w:w="1589" w:type="dxa"/>
          </w:tcPr>
          <w:p w:rsidR="006F10C7" w:rsidRPr="00D9523F" w:rsidRDefault="00A3254A"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674"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1614" w:type="dxa"/>
          </w:tcPr>
          <w:p w:rsidR="006F10C7" w:rsidRPr="00D9523F" w:rsidRDefault="00A3254A"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528"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1303" w:type="dxa"/>
          </w:tcPr>
          <w:p w:rsidR="006F10C7" w:rsidRPr="00D9523F" w:rsidRDefault="00A3254A"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946"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788"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1</w:t>
            </w:r>
          </w:p>
        </w:tc>
        <w:tc>
          <w:tcPr>
            <w:cnfStyle w:val="000100000000" w:firstRow="0" w:lastRow="0" w:firstColumn="0" w:lastColumn="1" w:oddVBand="0" w:evenVBand="0" w:oddHBand="0" w:evenHBand="0" w:firstRowFirstColumn="0" w:firstRowLastColumn="0" w:lastRowFirstColumn="0" w:lastRowLastColumn="0"/>
            <w:tcW w:w="763" w:type="dxa"/>
          </w:tcPr>
          <w:p w:rsidR="006F10C7" w:rsidRPr="00D9523F" w:rsidRDefault="00C06D88" w:rsidP="006F10C7">
            <w:pPr>
              <w:spacing w:before="40" w:after="40"/>
              <w:jc w:val="right"/>
              <w:rPr>
                <w:rFonts w:cstheme="minorHAnsi"/>
                <w:b w:val="0"/>
                <w:i w:val="0"/>
                <w:lang w:eastAsia="en-AU"/>
              </w:rPr>
            </w:pPr>
            <w:r w:rsidRPr="00D9523F">
              <w:rPr>
                <w:rFonts w:cstheme="minorHAnsi"/>
                <w:b w:val="0"/>
                <w:i w:val="0"/>
                <w:lang w:eastAsia="en-AU"/>
              </w:rPr>
              <w:t>0.2</w:t>
            </w:r>
          </w:p>
        </w:tc>
      </w:tr>
      <w:tr w:rsidR="006F10C7" w:rsidRPr="002F3BB0" w:rsidTr="00D9523F">
        <w:tc>
          <w:tcPr>
            <w:cnfStyle w:val="001000000000" w:firstRow="0" w:lastRow="0" w:firstColumn="1" w:lastColumn="0" w:oddVBand="0" w:evenVBand="0" w:oddHBand="0" w:evenHBand="0" w:firstRowFirstColumn="0" w:firstRowLastColumn="0" w:lastRowFirstColumn="0" w:lastRowLastColumn="0"/>
            <w:tcW w:w="2018" w:type="dxa"/>
          </w:tcPr>
          <w:p w:rsidR="006F10C7" w:rsidRPr="00D9523F" w:rsidRDefault="006F10C7" w:rsidP="006F10C7">
            <w:pPr>
              <w:spacing w:before="40" w:after="40"/>
              <w:rPr>
                <w:rFonts w:cstheme="minorHAnsi"/>
                <w:b w:val="0"/>
                <w:i w:val="0"/>
                <w:lang w:eastAsia="en-AU"/>
              </w:rPr>
            </w:pPr>
            <w:r w:rsidRPr="00D9523F">
              <w:rPr>
                <w:rFonts w:cstheme="minorHAnsi"/>
                <w:b w:val="0"/>
                <w:i w:val="0"/>
                <w:lang w:eastAsia="en-AU"/>
              </w:rPr>
              <w:t>Disposition of land</w:t>
            </w:r>
          </w:p>
        </w:tc>
        <w:tc>
          <w:tcPr>
            <w:cnfStyle w:val="000010000000" w:firstRow="0" w:lastRow="0" w:firstColumn="0" w:lastColumn="0" w:oddVBand="1" w:evenVBand="0" w:oddHBand="0" w:evenHBand="0" w:firstRowFirstColumn="0" w:firstRowLastColumn="0" w:lastRowFirstColumn="0" w:lastRowLastColumn="0"/>
            <w:tcW w:w="166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w:t>
            </w:r>
          </w:p>
        </w:tc>
        <w:tc>
          <w:tcPr>
            <w:tcW w:w="1589" w:type="dxa"/>
          </w:tcPr>
          <w:p w:rsidR="006F10C7" w:rsidRPr="00D9523F" w:rsidRDefault="00A3254A"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674"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1614" w:type="dxa"/>
          </w:tcPr>
          <w:p w:rsidR="006F10C7" w:rsidRPr="00D9523F" w:rsidRDefault="00A3254A"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528"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1303" w:type="dxa"/>
          </w:tcPr>
          <w:p w:rsidR="006F10C7" w:rsidRPr="00D9523F" w:rsidRDefault="00A3254A"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946"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788" w:type="dxa"/>
          </w:tcPr>
          <w:p w:rsidR="006F10C7" w:rsidRPr="00D9523F" w:rsidRDefault="00C06D88"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100000000" w:firstRow="0" w:lastRow="0" w:firstColumn="0" w:lastColumn="1" w:oddVBand="0" w:evenVBand="0" w:oddHBand="0" w:evenHBand="0" w:firstRowFirstColumn="0" w:firstRowLastColumn="0" w:lastRowFirstColumn="0" w:lastRowLastColumn="0"/>
            <w:tcW w:w="763" w:type="dxa"/>
          </w:tcPr>
          <w:p w:rsidR="006F10C7" w:rsidRPr="00D9523F" w:rsidRDefault="00C06D88" w:rsidP="006F10C7">
            <w:pPr>
              <w:spacing w:before="40" w:after="40"/>
              <w:jc w:val="right"/>
              <w:rPr>
                <w:rFonts w:cstheme="minorHAnsi"/>
                <w:b w:val="0"/>
                <w:i w:val="0"/>
                <w:lang w:eastAsia="en-AU"/>
              </w:rPr>
            </w:pPr>
            <w:r w:rsidRPr="00D9523F">
              <w:rPr>
                <w:rFonts w:cstheme="minorHAnsi"/>
                <w:b w:val="0"/>
                <w:i w:val="0"/>
                <w:lang w:eastAsia="en-AU"/>
              </w:rPr>
              <w:t>0.0</w:t>
            </w:r>
          </w:p>
        </w:tc>
      </w:tr>
      <w:tr w:rsidR="006F10C7" w:rsidRPr="002F3BB0" w:rsidTr="00D95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18" w:type="dxa"/>
          </w:tcPr>
          <w:p w:rsidR="006F10C7" w:rsidRPr="00D9523F" w:rsidRDefault="006F10C7" w:rsidP="006F10C7">
            <w:pPr>
              <w:spacing w:before="40" w:after="40"/>
              <w:rPr>
                <w:rFonts w:cstheme="minorHAnsi"/>
                <w:b w:val="0"/>
                <w:i w:val="0"/>
                <w:lang w:eastAsia="en-AU"/>
              </w:rPr>
            </w:pPr>
            <w:r w:rsidRPr="00D9523F">
              <w:rPr>
                <w:rFonts w:cstheme="minorHAnsi"/>
                <w:b w:val="0"/>
                <w:i w:val="0"/>
                <w:lang w:eastAsia="en-AU"/>
              </w:rPr>
              <w:t>Work</w:t>
            </w:r>
          </w:p>
        </w:tc>
        <w:tc>
          <w:tcPr>
            <w:cnfStyle w:val="000010000000" w:firstRow="0" w:lastRow="0" w:firstColumn="0" w:lastColumn="0" w:oddVBand="1" w:evenVBand="0" w:oddHBand="0" w:evenHBand="0" w:firstRowFirstColumn="0" w:firstRowLastColumn="0" w:lastRowFirstColumn="0" w:lastRowLastColumn="0"/>
            <w:tcW w:w="166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239</w:t>
            </w:r>
          </w:p>
        </w:tc>
        <w:tc>
          <w:tcPr>
            <w:tcW w:w="1589"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1</w:t>
            </w:r>
          </w:p>
        </w:tc>
        <w:tc>
          <w:tcPr>
            <w:cnfStyle w:val="000010000000" w:firstRow="0" w:lastRow="0" w:firstColumn="0" w:lastColumn="0" w:oddVBand="1" w:evenVBand="0" w:oddHBand="0" w:evenHBand="0" w:firstRowFirstColumn="0" w:firstRowLastColumn="0" w:lastRowFirstColumn="0" w:lastRowLastColumn="0"/>
            <w:tcW w:w="1674"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55</w:t>
            </w:r>
          </w:p>
        </w:tc>
        <w:tc>
          <w:tcPr>
            <w:tcW w:w="1614"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21</w:t>
            </w:r>
          </w:p>
        </w:tc>
        <w:tc>
          <w:tcPr>
            <w:cnfStyle w:val="000010000000" w:firstRow="0" w:lastRow="0" w:firstColumn="0" w:lastColumn="0" w:oddVBand="1" w:evenVBand="0" w:oddHBand="0" w:evenHBand="0" w:firstRowFirstColumn="0" w:firstRowLastColumn="0" w:lastRowFirstColumn="0" w:lastRowLastColumn="0"/>
            <w:tcW w:w="152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39</w:t>
            </w:r>
          </w:p>
        </w:tc>
        <w:tc>
          <w:tcPr>
            <w:tcW w:w="1303" w:type="dxa"/>
          </w:tcPr>
          <w:p w:rsidR="006F10C7" w:rsidRPr="00D9523F" w:rsidRDefault="00A3254A"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946"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4</w:t>
            </w:r>
          </w:p>
        </w:tc>
        <w:tc>
          <w:tcPr>
            <w:tcW w:w="788"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359</w:t>
            </w:r>
          </w:p>
        </w:tc>
        <w:tc>
          <w:tcPr>
            <w:cnfStyle w:val="000100000000" w:firstRow="0" w:lastRow="0" w:firstColumn="0" w:lastColumn="1" w:oddVBand="0" w:evenVBand="0" w:oddHBand="0" w:evenHBand="0" w:firstRowFirstColumn="0" w:firstRowLastColumn="0" w:lastRowFirstColumn="0" w:lastRowLastColumn="0"/>
            <w:tcW w:w="763" w:type="dxa"/>
          </w:tcPr>
          <w:p w:rsidR="006F10C7" w:rsidRPr="00D9523F" w:rsidRDefault="00C06D88" w:rsidP="006F10C7">
            <w:pPr>
              <w:spacing w:before="40" w:after="40"/>
              <w:jc w:val="right"/>
              <w:rPr>
                <w:rFonts w:cstheme="minorHAnsi"/>
                <w:b w:val="0"/>
                <w:i w:val="0"/>
                <w:lang w:eastAsia="en-AU"/>
              </w:rPr>
            </w:pPr>
            <w:r w:rsidRPr="00D9523F">
              <w:rPr>
                <w:rFonts w:cstheme="minorHAnsi"/>
                <w:b w:val="0"/>
                <w:i w:val="0"/>
                <w:lang w:eastAsia="en-AU"/>
              </w:rPr>
              <w:t>63.8</w:t>
            </w:r>
          </w:p>
        </w:tc>
      </w:tr>
      <w:tr w:rsidR="006F10C7" w:rsidRPr="002F3BB0" w:rsidTr="00D9523F">
        <w:tc>
          <w:tcPr>
            <w:cnfStyle w:val="001000000000" w:firstRow="0" w:lastRow="0" w:firstColumn="1" w:lastColumn="0" w:oddVBand="0" w:evenVBand="0" w:oddHBand="0" w:evenHBand="0" w:firstRowFirstColumn="0" w:firstRowLastColumn="0" w:lastRowFirstColumn="0" w:lastRowLastColumn="0"/>
            <w:tcW w:w="2018" w:type="dxa"/>
          </w:tcPr>
          <w:p w:rsidR="006F10C7" w:rsidRPr="00D9523F" w:rsidRDefault="006F10C7" w:rsidP="006F10C7">
            <w:pPr>
              <w:spacing w:before="40" w:after="40"/>
              <w:rPr>
                <w:rFonts w:cstheme="minorHAnsi"/>
                <w:b w:val="0"/>
                <w:i w:val="0"/>
                <w:lang w:eastAsia="en-AU"/>
              </w:rPr>
            </w:pPr>
            <w:r w:rsidRPr="00D9523F">
              <w:rPr>
                <w:rFonts w:cstheme="minorHAnsi"/>
                <w:b w:val="0"/>
                <w:i w:val="0"/>
                <w:lang w:eastAsia="en-AU"/>
              </w:rPr>
              <w:t>Education</w:t>
            </w:r>
          </w:p>
        </w:tc>
        <w:tc>
          <w:tcPr>
            <w:cnfStyle w:val="000010000000" w:firstRow="0" w:lastRow="0" w:firstColumn="0" w:lastColumn="0" w:oddVBand="1" w:evenVBand="0" w:oddHBand="0" w:evenHBand="0" w:firstRowFirstColumn="0" w:firstRowLastColumn="0" w:lastRowFirstColumn="0" w:lastRowLastColumn="0"/>
            <w:tcW w:w="166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18</w:t>
            </w:r>
          </w:p>
        </w:tc>
        <w:tc>
          <w:tcPr>
            <w:tcW w:w="1589" w:type="dxa"/>
          </w:tcPr>
          <w:p w:rsidR="006F10C7" w:rsidRPr="00D9523F" w:rsidRDefault="00A3254A"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674"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1</w:t>
            </w:r>
          </w:p>
        </w:tc>
        <w:tc>
          <w:tcPr>
            <w:tcW w:w="1614" w:type="dxa"/>
          </w:tcPr>
          <w:p w:rsidR="006F10C7" w:rsidRPr="00D9523F" w:rsidRDefault="00C06D88"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52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4</w:t>
            </w:r>
          </w:p>
        </w:tc>
        <w:tc>
          <w:tcPr>
            <w:tcW w:w="1303" w:type="dxa"/>
          </w:tcPr>
          <w:p w:rsidR="006F10C7" w:rsidRPr="00D9523F" w:rsidRDefault="00A3254A"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w:t>
            </w:r>
          </w:p>
        </w:tc>
        <w:tc>
          <w:tcPr>
            <w:cnfStyle w:val="000010000000" w:firstRow="0" w:lastRow="0" w:firstColumn="0" w:lastColumn="0" w:oddVBand="1" w:evenVBand="0" w:oddHBand="0" w:evenHBand="0" w:firstRowFirstColumn="0" w:firstRowLastColumn="0" w:lastRowFirstColumn="0" w:lastRowLastColumn="0"/>
            <w:tcW w:w="1946" w:type="dxa"/>
          </w:tcPr>
          <w:p w:rsidR="006F10C7" w:rsidRPr="00D9523F" w:rsidRDefault="00A3254A" w:rsidP="006F10C7">
            <w:pPr>
              <w:spacing w:before="40" w:after="40"/>
              <w:jc w:val="right"/>
              <w:rPr>
                <w:rFonts w:cstheme="minorHAnsi"/>
                <w:i w:val="0"/>
                <w:lang w:eastAsia="en-AU"/>
              </w:rPr>
            </w:pPr>
            <w:r w:rsidRPr="00D9523F">
              <w:rPr>
                <w:rFonts w:cstheme="minorHAnsi"/>
                <w:i w:val="0"/>
                <w:lang w:eastAsia="en-AU"/>
              </w:rPr>
              <w:t>-</w:t>
            </w:r>
          </w:p>
        </w:tc>
        <w:tc>
          <w:tcPr>
            <w:tcW w:w="788" w:type="dxa"/>
          </w:tcPr>
          <w:p w:rsidR="006F10C7" w:rsidRPr="00D9523F" w:rsidRDefault="00C06D88" w:rsidP="006F10C7">
            <w:pPr>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23</w:t>
            </w:r>
          </w:p>
        </w:tc>
        <w:tc>
          <w:tcPr>
            <w:cnfStyle w:val="000100000000" w:firstRow="0" w:lastRow="0" w:firstColumn="0" w:lastColumn="1" w:oddVBand="0" w:evenVBand="0" w:oddHBand="0" w:evenHBand="0" w:firstRowFirstColumn="0" w:firstRowLastColumn="0" w:lastRowFirstColumn="0" w:lastRowLastColumn="0"/>
            <w:tcW w:w="763" w:type="dxa"/>
          </w:tcPr>
          <w:p w:rsidR="006F10C7" w:rsidRPr="00D9523F" w:rsidRDefault="00C06D88" w:rsidP="006F10C7">
            <w:pPr>
              <w:spacing w:before="40" w:after="40"/>
              <w:jc w:val="right"/>
              <w:rPr>
                <w:rFonts w:cstheme="minorHAnsi"/>
                <w:b w:val="0"/>
                <w:i w:val="0"/>
                <w:lang w:eastAsia="en-AU"/>
              </w:rPr>
            </w:pPr>
            <w:r w:rsidRPr="00D9523F">
              <w:rPr>
                <w:rFonts w:cstheme="minorHAnsi"/>
                <w:b w:val="0"/>
                <w:i w:val="0"/>
                <w:lang w:eastAsia="en-AU"/>
              </w:rPr>
              <w:t>4.1</w:t>
            </w:r>
          </w:p>
        </w:tc>
      </w:tr>
      <w:tr w:rsidR="006F10C7" w:rsidRPr="002F3BB0" w:rsidTr="00D95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Pr>
          <w:p w:rsidR="006F10C7" w:rsidRPr="00D9523F" w:rsidRDefault="006F10C7" w:rsidP="006F10C7">
            <w:pPr>
              <w:spacing w:before="40" w:after="40"/>
              <w:rPr>
                <w:rFonts w:cstheme="minorHAnsi"/>
                <w:b w:val="0"/>
                <w:i w:val="0"/>
                <w:lang w:eastAsia="en-AU"/>
              </w:rPr>
            </w:pPr>
            <w:r w:rsidRPr="00D9523F">
              <w:rPr>
                <w:rFonts w:cstheme="minorHAnsi"/>
                <w:b w:val="0"/>
                <w:i w:val="0"/>
                <w:lang w:eastAsia="en-AU"/>
              </w:rPr>
              <w:t>Not recorded*</w:t>
            </w:r>
          </w:p>
        </w:tc>
        <w:tc>
          <w:tcPr>
            <w:cnfStyle w:val="000010000000" w:firstRow="0" w:lastRow="0" w:firstColumn="0" w:lastColumn="0" w:oddVBand="1" w:evenVBand="0" w:oddHBand="0" w:evenHBand="0" w:firstRowFirstColumn="0" w:firstRowLastColumn="0" w:lastRowFirstColumn="0" w:lastRowLastColumn="0"/>
            <w:tcW w:w="166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w:t>
            </w:r>
          </w:p>
        </w:tc>
        <w:tc>
          <w:tcPr>
            <w:tcW w:w="1589"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5</w:t>
            </w:r>
          </w:p>
        </w:tc>
        <w:tc>
          <w:tcPr>
            <w:cnfStyle w:val="000010000000" w:firstRow="0" w:lastRow="0" w:firstColumn="0" w:lastColumn="0" w:oddVBand="1" w:evenVBand="0" w:oddHBand="0" w:evenHBand="0" w:firstRowFirstColumn="0" w:firstRowLastColumn="0" w:lastRowFirstColumn="0" w:lastRowLastColumn="0"/>
            <w:tcW w:w="1674"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12</w:t>
            </w:r>
          </w:p>
        </w:tc>
        <w:tc>
          <w:tcPr>
            <w:tcW w:w="1614"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11</w:t>
            </w:r>
          </w:p>
        </w:tc>
        <w:tc>
          <w:tcPr>
            <w:cnfStyle w:val="000010000000" w:firstRow="0" w:lastRow="0" w:firstColumn="0" w:lastColumn="0" w:oddVBand="1" w:evenVBand="0" w:oddHBand="0" w:evenHBand="0" w:firstRowFirstColumn="0" w:firstRowLastColumn="0" w:lastRowFirstColumn="0" w:lastRowLastColumn="0"/>
            <w:tcW w:w="152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7</w:t>
            </w:r>
          </w:p>
        </w:tc>
        <w:tc>
          <w:tcPr>
            <w:tcW w:w="1303"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8</w:t>
            </w:r>
          </w:p>
        </w:tc>
        <w:tc>
          <w:tcPr>
            <w:cnfStyle w:val="000010000000" w:firstRow="0" w:lastRow="0" w:firstColumn="0" w:lastColumn="0" w:oddVBand="1" w:evenVBand="0" w:oddHBand="0" w:evenHBand="0" w:firstRowFirstColumn="0" w:firstRowLastColumn="0" w:lastRowFirstColumn="0" w:lastRowLastColumn="0"/>
            <w:tcW w:w="1946"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1</w:t>
            </w:r>
          </w:p>
        </w:tc>
        <w:tc>
          <w:tcPr>
            <w:tcW w:w="788" w:type="dxa"/>
          </w:tcPr>
          <w:p w:rsidR="006F10C7" w:rsidRPr="00D9523F" w:rsidRDefault="00C06D88" w:rsidP="006F10C7">
            <w:pPr>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lang w:eastAsia="en-AU"/>
              </w:rPr>
            </w:pPr>
            <w:r w:rsidRPr="00D9523F">
              <w:rPr>
                <w:rFonts w:cstheme="minorHAnsi"/>
                <w:i w:val="0"/>
                <w:lang w:eastAsia="en-AU"/>
              </w:rPr>
              <w:t>44</w:t>
            </w:r>
          </w:p>
        </w:tc>
        <w:tc>
          <w:tcPr>
            <w:cnfStyle w:val="000100000000" w:firstRow="0" w:lastRow="0" w:firstColumn="0" w:lastColumn="1" w:oddVBand="0" w:evenVBand="0" w:oddHBand="0" w:evenHBand="0" w:firstRowFirstColumn="0" w:firstRowLastColumn="0" w:lastRowFirstColumn="0" w:lastRowLastColumn="0"/>
            <w:tcW w:w="763" w:type="dxa"/>
          </w:tcPr>
          <w:p w:rsidR="006F10C7" w:rsidRPr="00D9523F" w:rsidRDefault="00C06D88" w:rsidP="006F10C7">
            <w:pPr>
              <w:spacing w:before="40" w:after="40"/>
              <w:jc w:val="right"/>
              <w:rPr>
                <w:rFonts w:cstheme="minorHAnsi"/>
                <w:b w:val="0"/>
                <w:i w:val="0"/>
                <w:lang w:eastAsia="en-AU"/>
              </w:rPr>
            </w:pPr>
            <w:r w:rsidRPr="00D9523F">
              <w:rPr>
                <w:rFonts w:cstheme="minorHAnsi"/>
                <w:b w:val="0"/>
                <w:i w:val="0"/>
                <w:lang w:eastAsia="en-AU"/>
              </w:rPr>
              <w:t>7.8</w:t>
            </w:r>
          </w:p>
        </w:tc>
      </w:tr>
      <w:tr w:rsidR="006F10C7" w:rsidRPr="00C06D88" w:rsidTr="00D9523F">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18" w:type="dxa"/>
          </w:tcPr>
          <w:p w:rsidR="006F10C7" w:rsidRPr="00D9523F" w:rsidRDefault="006F10C7" w:rsidP="006F10C7">
            <w:pPr>
              <w:spacing w:before="40" w:after="40"/>
              <w:rPr>
                <w:rFonts w:cstheme="minorHAnsi"/>
                <w:i w:val="0"/>
                <w:lang w:eastAsia="en-AU"/>
              </w:rPr>
            </w:pPr>
            <w:r w:rsidRPr="00D9523F">
              <w:rPr>
                <w:rFonts w:cstheme="minorHAnsi"/>
                <w:i w:val="0"/>
                <w:lang w:eastAsia="en-AU"/>
              </w:rPr>
              <w:t>Total</w:t>
            </w:r>
          </w:p>
        </w:tc>
        <w:tc>
          <w:tcPr>
            <w:cnfStyle w:val="000010000000" w:firstRow="0" w:lastRow="0" w:firstColumn="0" w:lastColumn="0" w:oddVBand="1" w:evenVBand="0" w:oddHBand="0" w:evenHBand="0" w:firstRowFirstColumn="0" w:firstRowLastColumn="0" w:lastRowFirstColumn="0" w:lastRowLastColumn="0"/>
            <w:tcW w:w="166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382</w:t>
            </w:r>
          </w:p>
        </w:tc>
        <w:tc>
          <w:tcPr>
            <w:tcW w:w="1589" w:type="dxa"/>
          </w:tcPr>
          <w:p w:rsidR="006F10C7" w:rsidRPr="00D9523F" w:rsidRDefault="00C06D88" w:rsidP="006F10C7">
            <w:pPr>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6</w:t>
            </w:r>
          </w:p>
        </w:tc>
        <w:tc>
          <w:tcPr>
            <w:cnfStyle w:val="000010000000" w:firstRow="0" w:lastRow="0" w:firstColumn="0" w:lastColumn="0" w:oddVBand="1" w:evenVBand="0" w:oddHBand="0" w:evenHBand="0" w:firstRowFirstColumn="0" w:firstRowLastColumn="0" w:lastRowFirstColumn="0" w:lastRowLastColumn="0"/>
            <w:tcW w:w="1674"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69</w:t>
            </w:r>
          </w:p>
        </w:tc>
        <w:tc>
          <w:tcPr>
            <w:tcW w:w="1614" w:type="dxa"/>
          </w:tcPr>
          <w:p w:rsidR="006F10C7" w:rsidRPr="00D9523F" w:rsidRDefault="00C06D88" w:rsidP="006F10C7">
            <w:pPr>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35</w:t>
            </w:r>
          </w:p>
        </w:tc>
        <w:tc>
          <w:tcPr>
            <w:cnfStyle w:val="000010000000" w:firstRow="0" w:lastRow="0" w:firstColumn="0" w:lastColumn="0" w:oddVBand="1" w:evenVBand="0" w:oddHBand="0" w:evenHBand="0" w:firstRowFirstColumn="0" w:firstRowLastColumn="0" w:lastRowFirstColumn="0" w:lastRowLastColumn="0"/>
            <w:tcW w:w="1528"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55</w:t>
            </w:r>
          </w:p>
        </w:tc>
        <w:tc>
          <w:tcPr>
            <w:tcW w:w="1303" w:type="dxa"/>
          </w:tcPr>
          <w:p w:rsidR="006F10C7" w:rsidRPr="00D9523F" w:rsidRDefault="00C06D88" w:rsidP="006F10C7">
            <w:pPr>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11</w:t>
            </w:r>
          </w:p>
        </w:tc>
        <w:tc>
          <w:tcPr>
            <w:cnfStyle w:val="000010000000" w:firstRow="0" w:lastRow="0" w:firstColumn="0" w:lastColumn="0" w:oddVBand="1" w:evenVBand="0" w:oddHBand="0" w:evenHBand="0" w:firstRowFirstColumn="0" w:firstRowLastColumn="0" w:lastRowFirstColumn="0" w:lastRowLastColumn="0"/>
            <w:tcW w:w="1946"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5</w:t>
            </w:r>
          </w:p>
        </w:tc>
        <w:tc>
          <w:tcPr>
            <w:tcW w:w="788" w:type="dxa"/>
          </w:tcPr>
          <w:p w:rsidR="006F10C7" w:rsidRPr="00D9523F" w:rsidRDefault="00C06D88" w:rsidP="006F10C7">
            <w:pPr>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i w:val="0"/>
                <w:lang w:eastAsia="en-AU"/>
              </w:rPr>
            </w:pPr>
            <w:r w:rsidRPr="00D9523F">
              <w:rPr>
                <w:rFonts w:cstheme="minorHAnsi"/>
                <w:i w:val="0"/>
                <w:lang w:eastAsia="en-AU"/>
              </w:rPr>
              <w:t>563</w:t>
            </w:r>
          </w:p>
        </w:tc>
        <w:tc>
          <w:tcPr>
            <w:cnfStyle w:val="000100000000" w:firstRow="0" w:lastRow="0" w:firstColumn="0" w:lastColumn="1" w:oddVBand="0" w:evenVBand="0" w:oddHBand="0" w:evenHBand="0" w:firstRowFirstColumn="0" w:firstRowLastColumn="0" w:lastRowFirstColumn="0" w:lastRowLastColumn="0"/>
            <w:tcW w:w="763" w:type="dxa"/>
          </w:tcPr>
          <w:p w:rsidR="006F10C7" w:rsidRPr="00D9523F" w:rsidRDefault="00C06D88" w:rsidP="006F10C7">
            <w:pPr>
              <w:spacing w:before="40" w:after="40"/>
              <w:jc w:val="right"/>
              <w:rPr>
                <w:rFonts w:cstheme="minorHAnsi"/>
                <w:i w:val="0"/>
                <w:lang w:eastAsia="en-AU"/>
              </w:rPr>
            </w:pPr>
            <w:r w:rsidRPr="00D9523F">
              <w:rPr>
                <w:rFonts w:cstheme="minorHAnsi"/>
                <w:i w:val="0"/>
                <w:lang w:eastAsia="en-AU"/>
              </w:rPr>
              <w:t>100</w:t>
            </w:r>
          </w:p>
        </w:tc>
      </w:tr>
    </w:tbl>
    <w:p w:rsidR="00194CAE" w:rsidRPr="00194CAE" w:rsidRDefault="00194CAE" w:rsidP="00681978">
      <w:pPr>
        <w:spacing w:before="240" w:after="240" w:line="240" w:lineRule="auto"/>
        <w:rPr>
          <w:rFonts w:ascii="Arial" w:eastAsia="Calibri" w:hAnsi="Arial" w:cs="Arial"/>
          <w:i w:val="0"/>
          <w:sz w:val="22"/>
        </w:rPr>
      </w:pPr>
      <w:r w:rsidRPr="00194CAE">
        <w:rPr>
          <w:i w:val="0"/>
        </w:rPr>
        <w:t>(Note: Only discrimination breaches require an area)</w:t>
      </w:r>
      <w:r w:rsidRPr="00194CAE">
        <w:rPr>
          <w:i w:val="0"/>
        </w:rPr>
        <w:tab/>
      </w:r>
    </w:p>
    <w:p w:rsidR="00C06D88" w:rsidRPr="002F3BB0" w:rsidRDefault="00C06D88" w:rsidP="00681978">
      <w:pPr>
        <w:spacing w:before="240" w:after="240" w:line="240" w:lineRule="auto"/>
        <w:rPr>
          <w:rFonts w:ascii="Arial" w:eastAsia="Calibri" w:hAnsi="Arial" w:cs="Arial"/>
          <w:i w:val="0"/>
          <w:sz w:val="22"/>
        </w:rPr>
      </w:pPr>
      <w:r w:rsidRPr="008716A0">
        <w:rPr>
          <w:rFonts w:ascii="Arial" w:eastAsia="Calibri" w:hAnsi="Arial" w:cs="Arial"/>
          <w:i w:val="0"/>
          <w:sz w:val="22"/>
        </w:rPr>
        <w:t>W</w:t>
      </w:r>
      <w:r w:rsidRPr="002F3BB0">
        <w:rPr>
          <w:rFonts w:ascii="Arial" w:eastAsia="Calibri" w:hAnsi="Arial" w:cs="Arial"/>
          <w:i w:val="0"/>
          <w:sz w:val="22"/>
        </w:rPr>
        <w:t>hile Table 1</w:t>
      </w:r>
      <w:r w:rsidR="00112E7F">
        <w:rPr>
          <w:rFonts w:ascii="Arial" w:eastAsia="Calibri" w:hAnsi="Arial" w:cs="Arial"/>
          <w:i w:val="0"/>
          <w:sz w:val="22"/>
        </w:rPr>
        <w:t>1</w:t>
      </w:r>
      <w:r w:rsidRPr="002F3BB0">
        <w:rPr>
          <w:rFonts w:ascii="Arial" w:eastAsia="Calibri" w:hAnsi="Arial" w:cs="Arial"/>
          <w:i w:val="0"/>
          <w:sz w:val="22"/>
        </w:rPr>
        <w:t xml:space="preserve"> clearly shows the prevalence of discrimination complaints acros</w:t>
      </w:r>
      <w:r w:rsidR="005E23D1">
        <w:rPr>
          <w:rFonts w:ascii="Arial" w:eastAsia="Calibri" w:hAnsi="Arial" w:cs="Arial"/>
          <w:i w:val="0"/>
          <w:sz w:val="22"/>
        </w:rPr>
        <w:t>s most grounds in the workplace. A</w:t>
      </w:r>
      <w:r w:rsidRPr="002F3BB0">
        <w:rPr>
          <w:rFonts w:ascii="Arial" w:eastAsia="Calibri" w:hAnsi="Arial" w:cs="Arial"/>
          <w:i w:val="0"/>
          <w:sz w:val="22"/>
        </w:rPr>
        <w:t xml:space="preserve"> significant number of complaints of impairment discrimination arose in connection with the provision of goods and services (19.8%) which includes access to public places and buildings. Similarly, a significant number of race discrimination complaints arose in connection with the provision of go</w:t>
      </w:r>
      <w:r w:rsidR="00681978">
        <w:rPr>
          <w:rFonts w:ascii="Arial" w:eastAsia="Calibri" w:hAnsi="Arial" w:cs="Arial"/>
          <w:i w:val="0"/>
          <w:sz w:val="22"/>
        </w:rPr>
        <w:t>ods and services (22%)</w:t>
      </w:r>
    </w:p>
    <w:p w:rsidR="00C06D88" w:rsidRPr="002F3BB0" w:rsidRDefault="00C06D88" w:rsidP="00D9523F">
      <w:pPr>
        <w:spacing w:before="120" w:after="480" w:line="240" w:lineRule="auto"/>
        <w:rPr>
          <w:rFonts w:ascii="Arial" w:eastAsia="Calibri" w:hAnsi="Arial" w:cs="Arial"/>
          <w:i w:val="0"/>
          <w:sz w:val="22"/>
        </w:rPr>
      </w:pPr>
      <w:r w:rsidRPr="002F3BB0">
        <w:rPr>
          <w:rFonts w:ascii="Arial" w:eastAsia="Calibri" w:hAnsi="Arial" w:cs="Arial"/>
          <w:i w:val="0"/>
          <w:sz w:val="22"/>
        </w:rPr>
        <w:t>Impairment (35.</w:t>
      </w:r>
      <w:r w:rsidR="00112E7F">
        <w:rPr>
          <w:rFonts w:ascii="Arial" w:eastAsia="Calibri" w:hAnsi="Arial" w:cs="Arial"/>
          <w:i w:val="0"/>
          <w:sz w:val="22"/>
        </w:rPr>
        <w:t>3</w:t>
      </w:r>
      <w:r w:rsidRPr="002F3BB0">
        <w:rPr>
          <w:rFonts w:ascii="Arial" w:eastAsia="Calibri" w:hAnsi="Arial" w:cs="Arial"/>
          <w:i w:val="0"/>
          <w:sz w:val="22"/>
        </w:rPr>
        <w:t>%) and race (16.</w:t>
      </w:r>
      <w:r w:rsidR="00112E7F">
        <w:rPr>
          <w:rFonts w:ascii="Arial" w:eastAsia="Calibri" w:hAnsi="Arial" w:cs="Arial"/>
          <w:i w:val="0"/>
          <w:sz w:val="22"/>
        </w:rPr>
        <w:t>2</w:t>
      </w:r>
      <w:r w:rsidRPr="002F3BB0">
        <w:rPr>
          <w:rFonts w:ascii="Arial" w:eastAsia="Calibri" w:hAnsi="Arial" w:cs="Arial"/>
          <w:i w:val="0"/>
          <w:sz w:val="22"/>
        </w:rPr>
        <w:t>%) are the most common basis for discrimination complaints across the total of all areas of complaint. Almost all complaints of breastfeeding, pregnancy, parental status and family responsibility discrimination arose in the work area as did sexuality discrimination complaints.</w:t>
      </w:r>
    </w:p>
    <w:p w:rsidR="002877CF" w:rsidRPr="002F3BB0" w:rsidRDefault="002877CF" w:rsidP="00240670">
      <w:pPr>
        <w:pStyle w:val="Heading3"/>
        <w:keepNext/>
      </w:pPr>
      <w:r w:rsidRPr="002F3BB0">
        <w:lastRenderedPageBreak/>
        <w:t xml:space="preserve">Table </w:t>
      </w:r>
      <w:r w:rsidR="003327FA">
        <w:t>1</w:t>
      </w:r>
      <w:r w:rsidR="0033101E">
        <w:t>1:</w:t>
      </w:r>
      <w:r w:rsidRPr="002F3BB0">
        <w:t xml:space="preserve"> State-wide accepted discrimination complaints by ground, by area</w:t>
      </w:r>
    </w:p>
    <w:tbl>
      <w:tblPr>
        <w:tblStyle w:val="LightList-Accent5"/>
        <w:tblpPr w:leftFromText="181" w:rightFromText="181" w:vertAnchor="text" w:horzAnchor="margin" w:tblpXSpec="center" w:tblpY="1"/>
        <w:tblW w:w="0" w:type="auto"/>
        <w:tblLook w:val="01E0" w:firstRow="1" w:lastRow="1" w:firstColumn="1" w:lastColumn="1" w:noHBand="0" w:noVBand="0"/>
        <w:tblDescription w:val="State wide accepted discrimination complaints by ground, by area"/>
      </w:tblPr>
      <w:tblGrid>
        <w:gridCol w:w="2361"/>
        <w:gridCol w:w="1268"/>
        <w:gridCol w:w="1340"/>
        <w:gridCol w:w="1179"/>
        <w:gridCol w:w="1555"/>
        <w:gridCol w:w="1287"/>
        <w:gridCol w:w="1163"/>
        <w:gridCol w:w="889"/>
        <w:gridCol w:w="1402"/>
        <w:gridCol w:w="766"/>
        <w:gridCol w:w="849"/>
      </w:tblGrid>
      <w:tr w:rsidR="00970575" w:rsidRPr="002F3BB0" w:rsidTr="00585B8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361" w:type="dxa"/>
            <w:vMerge w:val="restart"/>
          </w:tcPr>
          <w:p w:rsidR="00970575" w:rsidRPr="002F3BB0" w:rsidRDefault="00970575" w:rsidP="002877CF">
            <w:pPr>
              <w:widowControl w:val="0"/>
              <w:spacing w:before="40" w:after="40"/>
              <w:jc w:val="center"/>
              <w:rPr>
                <w:rFonts w:cstheme="minorHAnsi"/>
                <w:i w:val="0"/>
                <w:color w:val="FF000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1268" w:type="dxa"/>
            <w:vMerge w:val="restart"/>
          </w:tcPr>
          <w:p w:rsidR="00970575" w:rsidRPr="002F3BB0" w:rsidRDefault="00970575" w:rsidP="002877CF">
            <w:pPr>
              <w:widowControl w:val="0"/>
              <w:tabs>
                <w:tab w:val="left" w:pos="2340"/>
              </w:tabs>
              <w:spacing w:before="40" w:after="40"/>
              <w:jc w:val="center"/>
              <w:rPr>
                <w:rFonts w:cstheme="minorHAnsi"/>
                <w:b w:val="0"/>
                <w:bCs w:val="0"/>
                <w:i w:val="0"/>
                <w:sz w:val="22"/>
                <w:szCs w:val="22"/>
                <w:lang w:eastAsia="en-AU"/>
              </w:rPr>
            </w:pPr>
            <w:proofErr w:type="spellStart"/>
            <w:r w:rsidRPr="002F3BB0">
              <w:rPr>
                <w:rFonts w:cstheme="minorHAnsi"/>
                <w:b w:val="0"/>
                <w:bCs w:val="0"/>
                <w:i w:val="0"/>
                <w:sz w:val="22"/>
                <w:szCs w:val="22"/>
                <w:lang w:eastAsia="en-AU"/>
              </w:rPr>
              <w:t>Accomm</w:t>
            </w:r>
            <w:proofErr w:type="spellEnd"/>
          </w:p>
        </w:tc>
        <w:tc>
          <w:tcPr>
            <w:tcW w:w="1340" w:type="dxa"/>
            <w:vMerge w:val="restart"/>
          </w:tcPr>
          <w:p w:rsidR="00970575" w:rsidRPr="002F3BB0" w:rsidRDefault="00970575" w:rsidP="002877CF">
            <w:pPr>
              <w:widowControl w:val="0"/>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sz w:val="22"/>
                <w:szCs w:val="22"/>
                <w:lang w:eastAsia="en-AU"/>
              </w:rPr>
            </w:pPr>
            <w:r w:rsidRPr="002F3BB0">
              <w:rPr>
                <w:rFonts w:cstheme="minorHAnsi"/>
                <w:b w:val="0"/>
                <w:bCs w:val="0"/>
                <w:i w:val="0"/>
                <w:sz w:val="22"/>
                <w:szCs w:val="22"/>
                <w:lang w:eastAsia="en-AU"/>
              </w:rPr>
              <w:t>State laws &amp; programs</w:t>
            </w:r>
          </w:p>
        </w:tc>
        <w:tc>
          <w:tcPr>
            <w:cnfStyle w:val="000010000000" w:firstRow="0" w:lastRow="0" w:firstColumn="0" w:lastColumn="0" w:oddVBand="1" w:evenVBand="0" w:oddHBand="0" w:evenHBand="0" w:firstRowFirstColumn="0" w:firstRowLastColumn="0" w:lastRowFirstColumn="0" w:lastRowLastColumn="0"/>
            <w:tcW w:w="1179" w:type="dxa"/>
            <w:vMerge w:val="restart"/>
          </w:tcPr>
          <w:p w:rsidR="00970575" w:rsidRPr="002F3BB0" w:rsidRDefault="00970575" w:rsidP="002877CF">
            <w:pPr>
              <w:widowControl w:val="0"/>
              <w:tabs>
                <w:tab w:val="left" w:pos="2340"/>
              </w:tabs>
              <w:spacing w:before="40" w:after="40"/>
              <w:jc w:val="center"/>
              <w:rPr>
                <w:rFonts w:cstheme="minorHAnsi"/>
                <w:b w:val="0"/>
                <w:bCs w:val="0"/>
                <w:i w:val="0"/>
                <w:sz w:val="22"/>
                <w:szCs w:val="22"/>
                <w:lang w:eastAsia="en-AU"/>
              </w:rPr>
            </w:pPr>
            <w:r w:rsidRPr="002F3BB0">
              <w:rPr>
                <w:rFonts w:cstheme="minorHAnsi"/>
                <w:b w:val="0"/>
                <w:bCs w:val="0"/>
                <w:i w:val="0"/>
                <w:sz w:val="22"/>
                <w:szCs w:val="22"/>
                <w:lang w:eastAsia="en-AU"/>
              </w:rPr>
              <w:t>Goods &amp; services</w:t>
            </w:r>
          </w:p>
        </w:tc>
        <w:tc>
          <w:tcPr>
            <w:tcW w:w="1555" w:type="dxa"/>
            <w:vMerge w:val="restart"/>
          </w:tcPr>
          <w:p w:rsidR="00970575" w:rsidRPr="002F3BB0" w:rsidRDefault="00970575" w:rsidP="002877CF">
            <w:pPr>
              <w:widowControl w:val="0"/>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sz w:val="22"/>
                <w:szCs w:val="22"/>
                <w:lang w:eastAsia="en-AU"/>
              </w:rPr>
            </w:pPr>
            <w:r w:rsidRPr="002F3BB0">
              <w:rPr>
                <w:rFonts w:cstheme="minorHAnsi"/>
                <w:b w:val="0"/>
                <w:bCs w:val="0"/>
                <w:i w:val="0"/>
                <w:sz w:val="22"/>
                <w:szCs w:val="22"/>
                <w:lang w:eastAsia="en-AU"/>
              </w:rPr>
              <w:t>Club membership</w:t>
            </w:r>
          </w:p>
        </w:tc>
        <w:tc>
          <w:tcPr>
            <w:cnfStyle w:val="000010000000" w:firstRow="0" w:lastRow="0" w:firstColumn="0" w:lastColumn="0" w:oddVBand="1" w:evenVBand="0" w:oddHBand="0" w:evenHBand="0" w:firstRowFirstColumn="0" w:firstRowLastColumn="0" w:lastRowFirstColumn="0" w:lastRowLastColumn="0"/>
            <w:tcW w:w="1287" w:type="dxa"/>
            <w:vMerge w:val="restart"/>
          </w:tcPr>
          <w:p w:rsidR="00970575" w:rsidRPr="002F3BB0" w:rsidRDefault="00970575" w:rsidP="002877CF">
            <w:pPr>
              <w:widowControl w:val="0"/>
              <w:tabs>
                <w:tab w:val="left" w:pos="2340"/>
              </w:tabs>
              <w:spacing w:before="40" w:after="40"/>
              <w:jc w:val="center"/>
              <w:rPr>
                <w:rFonts w:cstheme="minorHAnsi"/>
                <w:b w:val="0"/>
                <w:bCs w:val="0"/>
                <w:i w:val="0"/>
                <w:sz w:val="22"/>
                <w:szCs w:val="22"/>
                <w:lang w:eastAsia="en-AU"/>
              </w:rPr>
            </w:pPr>
            <w:r w:rsidRPr="002F3BB0">
              <w:rPr>
                <w:rFonts w:cstheme="minorHAnsi"/>
                <w:b w:val="0"/>
                <w:bCs w:val="0"/>
                <w:i w:val="0"/>
                <w:sz w:val="22"/>
                <w:szCs w:val="22"/>
                <w:lang w:eastAsia="en-AU"/>
              </w:rPr>
              <w:t>Super &amp; insurance</w:t>
            </w:r>
          </w:p>
        </w:tc>
        <w:tc>
          <w:tcPr>
            <w:tcW w:w="1163" w:type="dxa"/>
            <w:vMerge w:val="restart"/>
          </w:tcPr>
          <w:p w:rsidR="00970575" w:rsidRPr="002F3BB0" w:rsidRDefault="00970575" w:rsidP="002877CF">
            <w:pPr>
              <w:widowControl w:val="0"/>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sz w:val="22"/>
                <w:szCs w:val="22"/>
                <w:lang w:eastAsia="en-AU"/>
              </w:rPr>
            </w:pPr>
            <w:r w:rsidRPr="002F3BB0">
              <w:rPr>
                <w:rFonts w:cstheme="minorHAnsi"/>
                <w:b w:val="0"/>
                <w:bCs w:val="0"/>
                <w:i w:val="0"/>
                <w:sz w:val="22"/>
                <w:szCs w:val="22"/>
                <w:lang w:eastAsia="en-AU"/>
              </w:rPr>
              <w:t>Disposal of land</w:t>
            </w:r>
          </w:p>
        </w:tc>
        <w:tc>
          <w:tcPr>
            <w:cnfStyle w:val="000010000000" w:firstRow="0" w:lastRow="0" w:firstColumn="0" w:lastColumn="0" w:oddVBand="1" w:evenVBand="0" w:oddHBand="0" w:evenHBand="0" w:firstRowFirstColumn="0" w:firstRowLastColumn="0" w:lastRowFirstColumn="0" w:lastRowLastColumn="0"/>
            <w:tcW w:w="889" w:type="dxa"/>
            <w:vMerge w:val="restart"/>
          </w:tcPr>
          <w:p w:rsidR="00970575" w:rsidRPr="002F3BB0" w:rsidRDefault="00970575" w:rsidP="002877CF">
            <w:pPr>
              <w:widowControl w:val="0"/>
              <w:tabs>
                <w:tab w:val="left" w:pos="2340"/>
              </w:tabs>
              <w:spacing w:before="40" w:after="40"/>
              <w:jc w:val="center"/>
              <w:rPr>
                <w:rFonts w:cstheme="minorHAnsi"/>
                <w:b w:val="0"/>
                <w:bCs w:val="0"/>
                <w:i w:val="0"/>
                <w:sz w:val="22"/>
                <w:szCs w:val="22"/>
                <w:lang w:eastAsia="en-AU"/>
              </w:rPr>
            </w:pPr>
            <w:r w:rsidRPr="002F3BB0">
              <w:rPr>
                <w:rFonts w:cstheme="minorHAnsi"/>
                <w:b w:val="0"/>
                <w:bCs w:val="0"/>
                <w:i w:val="0"/>
                <w:sz w:val="22"/>
                <w:szCs w:val="22"/>
                <w:lang w:eastAsia="en-AU"/>
              </w:rPr>
              <w:t>Work</w:t>
            </w:r>
          </w:p>
        </w:tc>
        <w:tc>
          <w:tcPr>
            <w:tcW w:w="1402" w:type="dxa"/>
            <w:vMerge w:val="restart"/>
          </w:tcPr>
          <w:p w:rsidR="00970575" w:rsidRPr="002F3BB0" w:rsidRDefault="00970575" w:rsidP="002877CF">
            <w:pPr>
              <w:widowControl w:val="0"/>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sz w:val="22"/>
                <w:szCs w:val="22"/>
                <w:lang w:eastAsia="en-AU"/>
              </w:rPr>
            </w:pPr>
            <w:r w:rsidRPr="002F3BB0">
              <w:rPr>
                <w:rFonts w:cstheme="minorHAnsi"/>
                <w:b w:val="0"/>
                <w:bCs w:val="0"/>
                <w:i w:val="0"/>
                <w:sz w:val="22"/>
                <w:szCs w:val="22"/>
                <w:lang w:eastAsia="en-AU"/>
              </w:rPr>
              <w:t>Education</w:t>
            </w:r>
          </w:p>
        </w:tc>
        <w:tc>
          <w:tcPr>
            <w:cnfStyle w:val="000100000000" w:firstRow="0" w:lastRow="0" w:firstColumn="0" w:lastColumn="1" w:oddVBand="0" w:evenVBand="0" w:oddHBand="0" w:evenHBand="0" w:firstRowFirstColumn="0" w:firstRowLastColumn="0" w:lastRowFirstColumn="0" w:lastRowLastColumn="0"/>
            <w:tcW w:w="1615" w:type="dxa"/>
            <w:gridSpan w:val="2"/>
          </w:tcPr>
          <w:p w:rsidR="00970575" w:rsidRPr="002F3BB0" w:rsidRDefault="00970575" w:rsidP="002877CF">
            <w:pPr>
              <w:widowControl w:val="0"/>
              <w:tabs>
                <w:tab w:val="left" w:pos="2340"/>
              </w:tabs>
              <w:spacing w:before="40" w:after="40"/>
              <w:jc w:val="center"/>
              <w:rPr>
                <w:rFonts w:cstheme="minorHAnsi"/>
                <w:b w:val="0"/>
                <w:bCs w:val="0"/>
                <w:i w:val="0"/>
                <w:sz w:val="22"/>
                <w:szCs w:val="22"/>
                <w:lang w:eastAsia="en-AU"/>
              </w:rPr>
            </w:pPr>
            <w:r w:rsidRPr="002F3BB0">
              <w:rPr>
                <w:rFonts w:cstheme="minorHAnsi"/>
                <w:b w:val="0"/>
                <w:bCs w:val="0"/>
                <w:i w:val="0"/>
                <w:sz w:val="22"/>
                <w:szCs w:val="22"/>
                <w:lang w:eastAsia="en-AU"/>
              </w:rPr>
              <w:t>Total</w:t>
            </w:r>
          </w:p>
        </w:tc>
      </w:tr>
      <w:tr w:rsidR="00970575" w:rsidRPr="002F3BB0" w:rsidTr="00585B8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61" w:type="dxa"/>
            <w:vMerge/>
          </w:tcPr>
          <w:p w:rsidR="00970575" w:rsidRPr="002F3BB0" w:rsidRDefault="00970575" w:rsidP="002877CF">
            <w:pPr>
              <w:widowControl w:val="0"/>
              <w:spacing w:before="40" w:after="40"/>
              <w:jc w:val="center"/>
              <w:rPr>
                <w:rFonts w:cstheme="minorHAnsi"/>
                <w:i w:val="0"/>
                <w:color w:val="FF000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1268" w:type="dxa"/>
            <w:vMerge/>
          </w:tcPr>
          <w:p w:rsidR="00970575" w:rsidRPr="002F3BB0" w:rsidRDefault="00970575" w:rsidP="002877CF">
            <w:pPr>
              <w:widowControl w:val="0"/>
              <w:tabs>
                <w:tab w:val="left" w:pos="2340"/>
              </w:tabs>
              <w:spacing w:before="40" w:after="40"/>
              <w:jc w:val="center"/>
              <w:rPr>
                <w:rFonts w:cstheme="minorHAnsi"/>
                <w:b/>
                <w:bCs/>
                <w:i w:val="0"/>
                <w:sz w:val="22"/>
                <w:szCs w:val="22"/>
                <w:lang w:eastAsia="en-AU"/>
              </w:rPr>
            </w:pPr>
          </w:p>
        </w:tc>
        <w:tc>
          <w:tcPr>
            <w:tcW w:w="1340" w:type="dxa"/>
            <w:vMerge/>
          </w:tcPr>
          <w:p w:rsidR="00970575" w:rsidRPr="002F3BB0" w:rsidRDefault="00970575" w:rsidP="002877CF">
            <w:pPr>
              <w:widowControl w:val="0"/>
              <w:tabs>
                <w:tab w:val="left" w:pos="2340"/>
              </w:tabs>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1179" w:type="dxa"/>
            <w:vMerge/>
          </w:tcPr>
          <w:p w:rsidR="00970575" w:rsidRPr="002F3BB0" w:rsidRDefault="00970575" w:rsidP="002877CF">
            <w:pPr>
              <w:widowControl w:val="0"/>
              <w:tabs>
                <w:tab w:val="left" w:pos="2340"/>
              </w:tabs>
              <w:spacing w:before="40" w:after="40"/>
              <w:jc w:val="center"/>
              <w:rPr>
                <w:rFonts w:cstheme="minorHAnsi"/>
                <w:b/>
                <w:bCs/>
                <w:i w:val="0"/>
                <w:sz w:val="22"/>
                <w:szCs w:val="22"/>
                <w:lang w:eastAsia="en-AU"/>
              </w:rPr>
            </w:pPr>
          </w:p>
        </w:tc>
        <w:tc>
          <w:tcPr>
            <w:tcW w:w="1555" w:type="dxa"/>
            <w:vMerge/>
          </w:tcPr>
          <w:p w:rsidR="00970575" w:rsidRPr="002F3BB0" w:rsidRDefault="00970575" w:rsidP="002877CF">
            <w:pPr>
              <w:widowControl w:val="0"/>
              <w:tabs>
                <w:tab w:val="left" w:pos="2340"/>
              </w:tabs>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1287" w:type="dxa"/>
            <w:vMerge/>
          </w:tcPr>
          <w:p w:rsidR="00970575" w:rsidRPr="002F3BB0" w:rsidRDefault="00970575" w:rsidP="002877CF">
            <w:pPr>
              <w:widowControl w:val="0"/>
              <w:tabs>
                <w:tab w:val="left" w:pos="2340"/>
              </w:tabs>
              <w:spacing w:before="40" w:after="40"/>
              <w:jc w:val="center"/>
              <w:rPr>
                <w:rFonts w:cstheme="minorHAnsi"/>
                <w:b/>
                <w:bCs/>
                <w:i w:val="0"/>
                <w:sz w:val="22"/>
                <w:szCs w:val="22"/>
                <w:lang w:eastAsia="en-AU"/>
              </w:rPr>
            </w:pPr>
          </w:p>
        </w:tc>
        <w:tc>
          <w:tcPr>
            <w:tcW w:w="1163" w:type="dxa"/>
            <w:vMerge/>
          </w:tcPr>
          <w:p w:rsidR="00970575" w:rsidRPr="002F3BB0" w:rsidRDefault="00970575" w:rsidP="002877CF">
            <w:pPr>
              <w:widowControl w:val="0"/>
              <w:tabs>
                <w:tab w:val="left" w:pos="2340"/>
              </w:tabs>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889" w:type="dxa"/>
            <w:vMerge/>
          </w:tcPr>
          <w:p w:rsidR="00970575" w:rsidRPr="002F3BB0" w:rsidRDefault="00970575" w:rsidP="002877CF">
            <w:pPr>
              <w:widowControl w:val="0"/>
              <w:tabs>
                <w:tab w:val="left" w:pos="2340"/>
              </w:tabs>
              <w:spacing w:before="40" w:after="40"/>
              <w:jc w:val="center"/>
              <w:rPr>
                <w:rFonts w:cstheme="minorHAnsi"/>
                <w:b/>
                <w:bCs/>
                <w:i w:val="0"/>
                <w:sz w:val="22"/>
                <w:szCs w:val="22"/>
                <w:lang w:eastAsia="en-AU"/>
              </w:rPr>
            </w:pPr>
          </w:p>
        </w:tc>
        <w:tc>
          <w:tcPr>
            <w:tcW w:w="1402" w:type="dxa"/>
            <w:vMerge/>
          </w:tcPr>
          <w:p w:rsidR="00970575" w:rsidRPr="002F3BB0" w:rsidRDefault="00970575" w:rsidP="002877CF">
            <w:pPr>
              <w:widowControl w:val="0"/>
              <w:tabs>
                <w:tab w:val="left" w:pos="2340"/>
              </w:tabs>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766" w:type="dxa"/>
          </w:tcPr>
          <w:p w:rsidR="00970575" w:rsidRPr="002F3BB0" w:rsidRDefault="00970575" w:rsidP="002877CF">
            <w:pPr>
              <w:widowControl w:val="0"/>
              <w:tabs>
                <w:tab w:val="left" w:pos="2340"/>
              </w:tabs>
              <w:spacing w:before="40" w:after="40"/>
              <w:jc w:val="center"/>
              <w:rPr>
                <w:rFonts w:cstheme="minorHAnsi"/>
                <w:b/>
                <w:bCs/>
                <w:i w:val="0"/>
                <w:sz w:val="22"/>
                <w:szCs w:val="22"/>
                <w:lang w:eastAsia="en-AU"/>
              </w:rPr>
            </w:pPr>
            <w:r w:rsidRPr="002F3BB0">
              <w:rPr>
                <w:rFonts w:cstheme="minorHAnsi"/>
                <w:b/>
                <w:bCs/>
                <w:i w:val="0"/>
                <w:sz w:val="22"/>
                <w:szCs w:val="22"/>
                <w:lang w:eastAsia="en-AU"/>
              </w:rPr>
              <w:t>#</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2F3BB0" w:rsidRDefault="00970575" w:rsidP="002877CF">
            <w:pPr>
              <w:widowControl w:val="0"/>
              <w:tabs>
                <w:tab w:val="left" w:pos="2340"/>
              </w:tabs>
              <w:spacing w:before="40" w:after="40"/>
              <w:jc w:val="center"/>
              <w:rPr>
                <w:rFonts w:cstheme="minorHAnsi"/>
                <w:b w:val="0"/>
                <w:bCs w:val="0"/>
                <w:i w:val="0"/>
                <w:sz w:val="22"/>
                <w:szCs w:val="22"/>
                <w:lang w:eastAsia="en-AU"/>
              </w:rPr>
            </w:pPr>
            <w:r w:rsidRPr="002F3BB0">
              <w:rPr>
                <w:rFonts w:cstheme="minorHAnsi"/>
                <w:b w:val="0"/>
                <w:bCs w:val="0"/>
                <w:i w:val="0"/>
                <w:sz w:val="22"/>
                <w:szCs w:val="22"/>
                <w:lang w:eastAsia="en-AU"/>
              </w:rPr>
              <w:t>%</w:t>
            </w:r>
          </w:p>
        </w:tc>
      </w:tr>
      <w:tr w:rsidR="00970575" w:rsidRPr="002F3BB0" w:rsidTr="00585B86">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Age</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340"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10</w:t>
            </w:r>
          </w:p>
        </w:tc>
        <w:tc>
          <w:tcPr>
            <w:tcW w:w="1555"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tcW w:w="1163"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18</w:t>
            </w:r>
          </w:p>
        </w:tc>
        <w:tc>
          <w:tcPr>
            <w:tcW w:w="1402"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30</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6.4</w:t>
            </w:r>
          </w:p>
        </w:tc>
      </w:tr>
      <w:tr w:rsidR="00970575"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Breastfeeding</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340"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BD357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555"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tcW w:w="1402"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0.1</w:t>
            </w:r>
          </w:p>
        </w:tc>
      </w:tr>
      <w:tr w:rsidR="00970575" w:rsidRPr="002F3BB0" w:rsidTr="00585B86">
        <w:trPr>
          <w:trHeight w:val="268"/>
        </w:trPr>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Family responsibility</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5</w:t>
            </w:r>
          </w:p>
        </w:tc>
        <w:tc>
          <w:tcPr>
            <w:tcW w:w="1340"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2</w:t>
            </w:r>
          </w:p>
        </w:tc>
        <w:tc>
          <w:tcPr>
            <w:tcW w:w="1555"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35</w:t>
            </w:r>
          </w:p>
        </w:tc>
        <w:tc>
          <w:tcPr>
            <w:tcW w:w="1402"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2</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45</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9.6</w:t>
            </w:r>
          </w:p>
        </w:tc>
      </w:tr>
      <w:tr w:rsidR="00970575"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Gender identity</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tcW w:w="1340"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BD357E" w:rsidP="00761205">
            <w:pPr>
              <w:widowControl w:val="0"/>
              <w:spacing w:before="40" w:after="40"/>
              <w:jc w:val="right"/>
              <w:rPr>
                <w:rFonts w:cstheme="minorHAnsi"/>
                <w:i w:val="0"/>
                <w:sz w:val="22"/>
                <w:szCs w:val="22"/>
                <w:lang w:eastAsia="en-AU"/>
              </w:rPr>
            </w:pPr>
            <w:r w:rsidRPr="00585B86">
              <w:rPr>
                <w:rFonts w:cstheme="minorHAnsi"/>
                <w:i w:val="0"/>
                <w:sz w:val="22"/>
                <w:szCs w:val="22"/>
                <w:lang w:eastAsia="en-AU"/>
              </w:rPr>
              <w:t>2</w:t>
            </w:r>
          </w:p>
        </w:tc>
        <w:tc>
          <w:tcPr>
            <w:tcW w:w="1555" w:type="dxa"/>
          </w:tcPr>
          <w:p w:rsidR="00970575" w:rsidRPr="00585B86" w:rsidRDefault="00C06D88"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tcW w:w="1402"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5</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1</w:t>
            </w:r>
          </w:p>
        </w:tc>
      </w:tr>
      <w:tr w:rsidR="00970575" w:rsidRPr="002F3BB0" w:rsidTr="00585B86">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Impairment</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10</w:t>
            </w:r>
          </w:p>
        </w:tc>
        <w:tc>
          <w:tcPr>
            <w:tcW w:w="1340"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9</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112E7F"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33</w:t>
            </w:r>
          </w:p>
        </w:tc>
        <w:tc>
          <w:tcPr>
            <w:tcW w:w="1555"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101</w:t>
            </w:r>
          </w:p>
        </w:tc>
        <w:tc>
          <w:tcPr>
            <w:tcW w:w="1402"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13</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166</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35.3</w:t>
            </w:r>
          </w:p>
        </w:tc>
      </w:tr>
      <w:tr w:rsidR="00970575" w:rsidRPr="002F3BB0" w:rsidTr="00585B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Lawful sexual activity</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340"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BD357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555"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tcW w:w="1402"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0.1</w:t>
            </w:r>
          </w:p>
        </w:tc>
      </w:tr>
      <w:tr w:rsidR="00970575" w:rsidRPr="002F3BB0" w:rsidTr="00585B86">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Parental status</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5</w:t>
            </w:r>
          </w:p>
        </w:tc>
        <w:tc>
          <w:tcPr>
            <w:tcW w:w="1340"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tcW w:w="1555"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11</w:t>
            </w:r>
          </w:p>
        </w:tc>
        <w:tc>
          <w:tcPr>
            <w:tcW w:w="1402"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18</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3.8</w:t>
            </w:r>
          </w:p>
        </w:tc>
      </w:tr>
      <w:tr w:rsidR="00970575"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Political belief/activity</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340" w:type="dxa"/>
          </w:tcPr>
          <w:p w:rsidR="00970575" w:rsidRPr="00585B86" w:rsidRDefault="00C06D88"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555"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402"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0.1</w:t>
            </w:r>
          </w:p>
        </w:tc>
      </w:tr>
      <w:tr w:rsidR="00970575" w:rsidRPr="002F3BB0" w:rsidTr="00585B86">
        <w:trPr>
          <w:trHeight w:val="268"/>
        </w:trPr>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Pregnancy</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340"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555"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21</w:t>
            </w:r>
          </w:p>
        </w:tc>
        <w:tc>
          <w:tcPr>
            <w:tcW w:w="1402"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22</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4.7</w:t>
            </w:r>
          </w:p>
        </w:tc>
      </w:tr>
      <w:tr w:rsidR="00970575"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Race</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9</w:t>
            </w:r>
          </w:p>
        </w:tc>
        <w:tc>
          <w:tcPr>
            <w:tcW w:w="1340"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17</w:t>
            </w:r>
          </w:p>
        </w:tc>
        <w:tc>
          <w:tcPr>
            <w:tcW w:w="1555"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48</w:t>
            </w:r>
          </w:p>
        </w:tc>
        <w:tc>
          <w:tcPr>
            <w:tcW w:w="1402"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2</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76</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16.2</w:t>
            </w:r>
          </w:p>
        </w:tc>
      </w:tr>
      <w:tr w:rsidR="00970575" w:rsidRPr="002F3BB0" w:rsidTr="00585B86">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Relationship status</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tcW w:w="1340"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5</w:t>
            </w:r>
          </w:p>
        </w:tc>
        <w:tc>
          <w:tcPr>
            <w:tcW w:w="1555"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5</w:t>
            </w:r>
          </w:p>
        </w:tc>
        <w:tc>
          <w:tcPr>
            <w:tcW w:w="1402"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12</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2.6</w:t>
            </w:r>
          </w:p>
        </w:tc>
      </w:tr>
      <w:tr w:rsidR="00970575" w:rsidRPr="002F3BB0" w:rsidTr="00585B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Religion</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tcW w:w="1340"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tcW w:w="1555"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11</w:t>
            </w:r>
          </w:p>
        </w:tc>
        <w:tc>
          <w:tcPr>
            <w:tcW w:w="1402"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13</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2.8</w:t>
            </w:r>
          </w:p>
        </w:tc>
      </w:tr>
      <w:tr w:rsidR="00970575" w:rsidRPr="002F3BB0" w:rsidTr="00585B86">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Sex</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tcW w:w="1340"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C06D88"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12</w:t>
            </w:r>
          </w:p>
        </w:tc>
        <w:tc>
          <w:tcPr>
            <w:tcW w:w="1555"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9</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43</w:t>
            </w:r>
          </w:p>
        </w:tc>
        <w:tc>
          <w:tcPr>
            <w:tcW w:w="1402"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67</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14.2</w:t>
            </w:r>
          </w:p>
        </w:tc>
      </w:tr>
      <w:tr w:rsidR="00970575"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Sexuality</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340"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555"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10</w:t>
            </w:r>
          </w:p>
        </w:tc>
        <w:tc>
          <w:tcPr>
            <w:tcW w:w="1402" w:type="dxa"/>
          </w:tcPr>
          <w:p w:rsidR="00970575"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10</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2.1</w:t>
            </w:r>
          </w:p>
        </w:tc>
      </w:tr>
      <w:tr w:rsidR="00970575" w:rsidRPr="002F3BB0" w:rsidTr="00585B86">
        <w:trPr>
          <w:trHeight w:val="268"/>
        </w:trPr>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Trade union activity</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340"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555"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163" w:type="dxa"/>
          </w:tcPr>
          <w:p w:rsidR="00970575" w:rsidRPr="00585B86" w:rsidRDefault="00C06D88"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4</w:t>
            </w:r>
          </w:p>
        </w:tc>
        <w:tc>
          <w:tcPr>
            <w:tcW w:w="1402" w:type="dxa"/>
          </w:tcPr>
          <w:p w:rsidR="00970575"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4</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1</w:t>
            </w:r>
          </w:p>
        </w:tc>
      </w:tr>
      <w:tr w:rsidR="00970575" w:rsidRPr="002A0F92" w:rsidTr="00585B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rsidR="00970575" w:rsidRPr="00585B86" w:rsidRDefault="00970575"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Total</w:t>
            </w:r>
          </w:p>
        </w:tc>
        <w:tc>
          <w:tcPr>
            <w:cnfStyle w:val="000010000000" w:firstRow="0" w:lastRow="0" w:firstColumn="0" w:lastColumn="0" w:oddVBand="1" w:evenVBand="0" w:oddHBand="0" w:evenHBand="0" w:firstRowFirstColumn="0" w:firstRowLastColumn="0" w:lastRowFirstColumn="0" w:lastRowLastColumn="0"/>
            <w:tcW w:w="1268" w:type="dxa"/>
          </w:tcPr>
          <w:p w:rsidR="00970575" w:rsidRPr="00585B86" w:rsidRDefault="00C06D88"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33</w:t>
            </w:r>
          </w:p>
        </w:tc>
        <w:tc>
          <w:tcPr>
            <w:tcW w:w="1340" w:type="dxa"/>
          </w:tcPr>
          <w:p w:rsidR="00970575" w:rsidRPr="00585B86" w:rsidRDefault="00C06D88" w:rsidP="002877CF">
            <w:pPr>
              <w:widowControl w:val="0"/>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b w:val="0"/>
                <w:i w:val="0"/>
                <w:sz w:val="22"/>
                <w:szCs w:val="22"/>
                <w:lang w:eastAsia="en-AU"/>
              </w:rPr>
            </w:pPr>
            <w:r w:rsidRPr="00585B86">
              <w:rPr>
                <w:rFonts w:cstheme="minorHAnsi"/>
                <w:b w:val="0"/>
                <w:i w:val="0"/>
                <w:sz w:val="22"/>
                <w:szCs w:val="22"/>
                <w:lang w:eastAsia="en-AU"/>
              </w:rPr>
              <w:t>16</w:t>
            </w:r>
          </w:p>
        </w:tc>
        <w:tc>
          <w:tcPr>
            <w:cnfStyle w:val="000010000000" w:firstRow="0" w:lastRow="0" w:firstColumn="0" w:lastColumn="0" w:oddVBand="1" w:evenVBand="0" w:oddHBand="0" w:evenHBand="0" w:firstRowFirstColumn="0" w:firstRowLastColumn="0" w:lastRowFirstColumn="0" w:lastRowLastColumn="0"/>
            <w:tcW w:w="1179" w:type="dxa"/>
          </w:tcPr>
          <w:p w:rsidR="00970575" w:rsidRPr="00585B86" w:rsidRDefault="00C06D88"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83</w:t>
            </w:r>
          </w:p>
        </w:tc>
        <w:tc>
          <w:tcPr>
            <w:tcW w:w="1555" w:type="dxa"/>
          </w:tcPr>
          <w:p w:rsidR="00970575" w:rsidRPr="00585B86" w:rsidRDefault="00C06D88" w:rsidP="002877CF">
            <w:pPr>
              <w:widowControl w:val="0"/>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b w:val="0"/>
                <w:i w:val="0"/>
                <w:sz w:val="22"/>
                <w:szCs w:val="22"/>
                <w:lang w:eastAsia="en-AU"/>
              </w:rPr>
            </w:pPr>
            <w:r w:rsidRPr="00585B86">
              <w:rPr>
                <w:rFonts w:cstheme="minorHAnsi"/>
                <w:b w:val="0"/>
                <w:i w:val="0"/>
                <w:sz w:val="22"/>
                <w:szCs w:val="22"/>
                <w:lang w:eastAsia="en-AU"/>
              </w:rPr>
              <w:t>10</w:t>
            </w:r>
          </w:p>
        </w:tc>
        <w:tc>
          <w:tcPr>
            <w:cnfStyle w:val="000010000000" w:firstRow="0" w:lastRow="0" w:firstColumn="0" w:lastColumn="0" w:oddVBand="1" w:evenVBand="0" w:oddHBand="0" w:evenHBand="0" w:firstRowFirstColumn="0" w:firstRowLastColumn="0" w:lastRowFirstColumn="0" w:lastRowLastColumn="0"/>
            <w:tcW w:w="1287" w:type="dxa"/>
          </w:tcPr>
          <w:p w:rsidR="00970575" w:rsidRPr="00585B86" w:rsidRDefault="00C06D88"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1</w:t>
            </w:r>
          </w:p>
        </w:tc>
        <w:tc>
          <w:tcPr>
            <w:tcW w:w="1163" w:type="dxa"/>
          </w:tcPr>
          <w:p w:rsidR="00970575" w:rsidRPr="00585B86" w:rsidRDefault="00C06D88" w:rsidP="002877CF">
            <w:pPr>
              <w:widowControl w:val="0"/>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b w:val="0"/>
                <w:i w:val="0"/>
                <w:sz w:val="22"/>
                <w:szCs w:val="22"/>
                <w:lang w:eastAsia="en-AU"/>
              </w:rPr>
            </w:pPr>
            <w:r w:rsidRPr="00585B86">
              <w:rPr>
                <w:rFonts w:cstheme="minorHAnsi"/>
                <w:b w:val="0"/>
                <w:i w:val="0"/>
                <w:sz w:val="22"/>
                <w:szCs w:val="22"/>
                <w:lang w:eastAsia="en-AU"/>
              </w:rPr>
              <w:t>0</w:t>
            </w:r>
          </w:p>
        </w:tc>
        <w:tc>
          <w:tcPr>
            <w:cnfStyle w:val="000010000000" w:firstRow="0" w:lastRow="0" w:firstColumn="0" w:lastColumn="0" w:oddVBand="1" w:evenVBand="0" w:oddHBand="0" w:evenHBand="0" w:firstRowFirstColumn="0" w:firstRowLastColumn="0" w:lastRowFirstColumn="0" w:lastRowLastColumn="0"/>
            <w:tcW w:w="88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310</w:t>
            </w:r>
          </w:p>
        </w:tc>
        <w:tc>
          <w:tcPr>
            <w:tcW w:w="1402" w:type="dxa"/>
          </w:tcPr>
          <w:p w:rsidR="00970575" w:rsidRPr="00585B86" w:rsidRDefault="00485BBE" w:rsidP="002877CF">
            <w:pPr>
              <w:widowControl w:val="0"/>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b w:val="0"/>
                <w:i w:val="0"/>
                <w:sz w:val="22"/>
                <w:szCs w:val="22"/>
                <w:lang w:eastAsia="en-AU"/>
              </w:rPr>
            </w:pPr>
            <w:r w:rsidRPr="00585B86">
              <w:rPr>
                <w:rFonts w:cstheme="minorHAnsi"/>
                <w:b w:val="0"/>
                <w:i w:val="0"/>
                <w:sz w:val="22"/>
                <w:szCs w:val="22"/>
                <w:lang w:eastAsia="en-AU"/>
              </w:rPr>
              <w:t>18</w:t>
            </w:r>
          </w:p>
        </w:tc>
        <w:tc>
          <w:tcPr>
            <w:cnfStyle w:val="000010000000" w:firstRow="0" w:lastRow="0" w:firstColumn="0" w:lastColumn="0" w:oddVBand="1" w:evenVBand="0" w:oddHBand="0" w:evenHBand="0" w:firstRowFirstColumn="0" w:firstRowLastColumn="0" w:lastRowFirstColumn="0" w:lastRowLastColumn="0"/>
            <w:tcW w:w="766"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471</w:t>
            </w:r>
          </w:p>
        </w:tc>
        <w:tc>
          <w:tcPr>
            <w:cnfStyle w:val="000100000000" w:firstRow="0" w:lastRow="0" w:firstColumn="0" w:lastColumn="1" w:oddVBand="0" w:evenVBand="0" w:oddHBand="0" w:evenHBand="0" w:firstRowFirstColumn="0" w:firstRowLastColumn="0" w:lastRowFirstColumn="0" w:lastRowLastColumn="0"/>
            <w:tcW w:w="809" w:type="dxa"/>
          </w:tcPr>
          <w:p w:rsidR="00970575"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100</w:t>
            </w:r>
          </w:p>
        </w:tc>
      </w:tr>
    </w:tbl>
    <w:p w:rsidR="0097114D" w:rsidRPr="002F3BB0" w:rsidRDefault="0097114D" w:rsidP="00565444">
      <w:pPr>
        <w:pStyle w:val="Heading2"/>
        <w:keepNext/>
        <w:rPr>
          <w:i/>
        </w:rPr>
      </w:pPr>
      <w:r w:rsidRPr="002F3BB0">
        <w:t>Settlement of complaints</w:t>
      </w:r>
    </w:p>
    <w:p w:rsidR="00485BBE" w:rsidRPr="002F3BB0" w:rsidRDefault="00485BBE" w:rsidP="00565444">
      <w:pPr>
        <w:keepNext/>
        <w:spacing w:after="240" w:line="240" w:lineRule="auto"/>
        <w:rPr>
          <w:rFonts w:ascii="Arial" w:hAnsi="Arial" w:cs="Arial"/>
          <w:i w:val="0"/>
          <w:color w:val="000000"/>
          <w:sz w:val="22"/>
          <w:lang w:eastAsia="en-AU"/>
        </w:rPr>
      </w:pPr>
      <w:r w:rsidRPr="002F3BB0">
        <w:rPr>
          <w:rFonts w:ascii="Arial" w:hAnsi="Arial" w:cs="Arial"/>
          <w:i w:val="0"/>
          <w:color w:val="000000"/>
          <w:sz w:val="22"/>
          <w:lang w:eastAsia="en-AU"/>
        </w:rPr>
        <w:t xml:space="preserve">Conciliators at the Commission assist parties to resolve complaints under the </w:t>
      </w:r>
      <w:r w:rsidRPr="002F3BB0">
        <w:rPr>
          <w:rFonts w:ascii="Arial" w:hAnsi="Arial" w:cs="Arial"/>
          <w:color w:val="000000"/>
          <w:sz w:val="22"/>
          <w:lang w:eastAsia="en-AU"/>
        </w:rPr>
        <w:t>Anti-Discrimination Act 1991</w:t>
      </w:r>
      <w:r w:rsidRPr="002F3BB0">
        <w:rPr>
          <w:rFonts w:ascii="Arial" w:hAnsi="Arial" w:cs="Arial"/>
          <w:i w:val="0"/>
          <w:color w:val="000000"/>
          <w:sz w:val="22"/>
          <w:lang w:eastAsia="en-AU"/>
        </w:rPr>
        <w:t xml:space="preserve">. The conciliation conference allows the parties to explore each other perspective on the issues, identifying what they may have in common and discuss options for </w:t>
      </w:r>
      <w:r w:rsidR="009A4581">
        <w:rPr>
          <w:rFonts w:ascii="Arial" w:hAnsi="Arial" w:cs="Arial"/>
          <w:i w:val="0"/>
          <w:color w:val="000000"/>
          <w:sz w:val="22"/>
          <w:lang w:eastAsia="en-AU"/>
        </w:rPr>
        <w:t>settling the complaint.</w:t>
      </w:r>
    </w:p>
    <w:p w:rsidR="00485BBE" w:rsidRPr="002F3BB0" w:rsidRDefault="00485BBE" w:rsidP="008D5543">
      <w:pPr>
        <w:spacing w:after="240" w:line="240" w:lineRule="auto"/>
        <w:rPr>
          <w:rFonts w:ascii="Arial" w:hAnsi="Arial" w:cs="Arial"/>
          <w:i w:val="0"/>
          <w:sz w:val="22"/>
          <w:lang w:eastAsia="en-AU"/>
        </w:rPr>
      </w:pPr>
      <w:r w:rsidRPr="002F3BB0">
        <w:rPr>
          <w:rFonts w:ascii="Arial" w:hAnsi="Arial" w:cs="Arial"/>
          <w:i w:val="0"/>
          <w:sz w:val="22"/>
          <w:lang w:eastAsia="en-AU"/>
        </w:rPr>
        <w:t>This year saw an increase in the settlement rate from 58 % to 61% of complaints, significantly above the target of 55%.</w:t>
      </w:r>
    </w:p>
    <w:p w:rsidR="00485BBE" w:rsidRPr="002F3BB0" w:rsidRDefault="00485BBE" w:rsidP="008D5543">
      <w:pPr>
        <w:widowControl w:val="0"/>
        <w:spacing w:after="240" w:line="240" w:lineRule="auto"/>
        <w:rPr>
          <w:rFonts w:ascii="Arial" w:hAnsi="Arial" w:cs="Arial"/>
          <w:i w:val="0"/>
          <w:sz w:val="22"/>
          <w:lang w:eastAsia="en-AU"/>
        </w:rPr>
      </w:pPr>
      <w:r w:rsidRPr="002F3BB0">
        <w:rPr>
          <w:rFonts w:ascii="Arial" w:hAnsi="Arial" w:cs="Arial"/>
          <w:i w:val="0"/>
          <w:sz w:val="22"/>
          <w:lang w:eastAsia="en-AU"/>
        </w:rPr>
        <w:t xml:space="preserve">78.4% of accepted complaints were finalised within the Commission, with only 22% of accepted complaints referred to the Queensland Civil and Administrative Tribunal, which </w:t>
      </w:r>
      <w:r w:rsidR="009A4581">
        <w:rPr>
          <w:rFonts w:ascii="Arial" w:hAnsi="Arial" w:cs="Arial"/>
          <w:i w:val="0"/>
          <w:sz w:val="22"/>
          <w:lang w:eastAsia="en-AU"/>
        </w:rPr>
        <w:t>is slightly better than target.</w:t>
      </w:r>
    </w:p>
    <w:p w:rsidR="002877CF" w:rsidRPr="002F3BB0" w:rsidRDefault="002877CF" w:rsidP="00240670">
      <w:pPr>
        <w:pStyle w:val="Heading3"/>
      </w:pPr>
      <w:r w:rsidRPr="002F3BB0">
        <w:lastRenderedPageBreak/>
        <w:t xml:space="preserve">Table </w:t>
      </w:r>
      <w:r w:rsidR="005B6927">
        <w:t>1</w:t>
      </w:r>
      <w:r w:rsidR="0033101E">
        <w:t>2:</w:t>
      </w:r>
      <w:r w:rsidRPr="002F3BB0">
        <w:t xml:space="preserve"> State-wide outcomes for accepted complaints by region</w:t>
      </w:r>
    </w:p>
    <w:tbl>
      <w:tblPr>
        <w:tblStyle w:val="LightList-Accent5"/>
        <w:tblpPr w:leftFromText="181" w:rightFromText="181" w:vertAnchor="text" w:horzAnchor="margin" w:tblpXSpec="center" w:tblpY="1"/>
        <w:tblW w:w="13738" w:type="dxa"/>
        <w:tblLook w:val="01E0" w:firstRow="1" w:lastRow="1" w:firstColumn="1" w:lastColumn="1" w:noHBand="0" w:noVBand="0"/>
        <w:tblDescription w:val="State wide outcomes for accepted complaints by region"/>
      </w:tblPr>
      <w:tblGrid>
        <w:gridCol w:w="3270"/>
        <w:gridCol w:w="1800"/>
        <w:gridCol w:w="1385"/>
        <w:gridCol w:w="1505"/>
        <w:gridCol w:w="1640"/>
        <w:gridCol w:w="1641"/>
        <w:gridCol w:w="2497"/>
      </w:tblGrid>
      <w:tr w:rsidR="002877CF" w:rsidRPr="002F3BB0" w:rsidTr="00585B8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193" w:type="dxa"/>
            <w:vMerge w:val="restart"/>
          </w:tcPr>
          <w:p w:rsidR="002877CF" w:rsidRPr="002F3BB0" w:rsidRDefault="002877CF" w:rsidP="002877CF">
            <w:pPr>
              <w:widowControl w:val="0"/>
              <w:spacing w:before="40" w:after="40"/>
              <w:jc w:val="center"/>
              <w:rPr>
                <w:rFonts w:cstheme="minorHAnsi"/>
                <w:color w:val="FF0000"/>
                <w:sz w:val="22"/>
                <w:szCs w:val="22"/>
                <w:lang w:eastAsia="en-AU"/>
              </w:rPr>
            </w:pPr>
            <w:bookmarkStart w:id="23" w:name="_Toc334451190"/>
          </w:p>
        </w:tc>
        <w:tc>
          <w:tcPr>
            <w:cnfStyle w:val="000010000000" w:firstRow="0" w:lastRow="0" w:firstColumn="0" w:lastColumn="0" w:oddVBand="1" w:evenVBand="0" w:oddHBand="0" w:evenHBand="0" w:firstRowFirstColumn="0" w:firstRowLastColumn="0" w:lastRowFirstColumn="0" w:lastRowLastColumn="0"/>
            <w:tcW w:w="1758" w:type="dxa"/>
            <w:vMerge w:val="restart"/>
          </w:tcPr>
          <w:p w:rsidR="002877CF" w:rsidRPr="002F3BB0" w:rsidRDefault="002877CF" w:rsidP="002877CF">
            <w:pPr>
              <w:widowControl w:val="0"/>
              <w:tabs>
                <w:tab w:val="left" w:pos="2340"/>
              </w:tabs>
              <w:spacing w:before="40" w:after="40"/>
              <w:jc w:val="center"/>
              <w:rPr>
                <w:rFonts w:cstheme="minorHAnsi"/>
                <w:b w:val="0"/>
                <w:bCs w:val="0"/>
                <w:i w:val="0"/>
                <w:sz w:val="22"/>
                <w:szCs w:val="22"/>
                <w:lang w:eastAsia="en-AU"/>
              </w:rPr>
            </w:pPr>
            <w:r w:rsidRPr="002F3BB0">
              <w:rPr>
                <w:rFonts w:cstheme="minorHAnsi"/>
                <w:b w:val="0"/>
                <w:bCs w:val="0"/>
                <w:i w:val="0"/>
                <w:sz w:val="22"/>
                <w:szCs w:val="22"/>
                <w:lang w:eastAsia="en-AU"/>
              </w:rPr>
              <w:t>South-East</w:t>
            </w:r>
          </w:p>
        </w:tc>
        <w:tc>
          <w:tcPr>
            <w:tcW w:w="1353" w:type="dxa"/>
            <w:vMerge w:val="restart"/>
          </w:tcPr>
          <w:p w:rsidR="002877CF" w:rsidRPr="002F3BB0" w:rsidRDefault="002877CF" w:rsidP="002877CF">
            <w:pPr>
              <w:widowControl w:val="0"/>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sz w:val="22"/>
                <w:szCs w:val="22"/>
                <w:lang w:eastAsia="en-AU"/>
              </w:rPr>
            </w:pPr>
            <w:r w:rsidRPr="002F3BB0">
              <w:rPr>
                <w:rFonts w:cstheme="minorHAnsi"/>
                <w:b w:val="0"/>
                <w:bCs w:val="0"/>
                <w:i w:val="0"/>
                <w:sz w:val="22"/>
                <w:szCs w:val="22"/>
                <w:lang w:eastAsia="en-AU"/>
              </w:rPr>
              <w:t>Central</w:t>
            </w:r>
          </w:p>
        </w:tc>
        <w:tc>
          <w:tcPr>
            <w:cnfStyle w:val="000010000000" w:firstRow="0" w:lastRow="0" w:firstColumn="0" w:lastColumn="0" w:oddVBand="1" w:evenVBand="0" w:oddHBand="0" w:evenHBand="0" w:firstRowFirstColumn="0" w:firstRowLastColumn="0" w:lastRowFirstColumn="0" w:lastRowLastColumn="0"/>
            <w:tcW w:w="1470" w:type="dxa"/>
            <w:vMerge w:val="restart"/>
          </w:tcPr>
          <w:p w:rsidR="002877CF" w:rsidRPr="002F3BB0" w:rsidRDefault="002877CF" w:rsidP="002877CF">
            <w:pPr>
              <w:widowControl w:val="0"/>
              <w:tabs>
                <w:tab w:val="left" w:pos="2340"/>
              </w:tabs>
              <w:spacing w:before="40" w:after="40"/>
              <w:jc w:val="center"/>
              <w:rPr>
                <w:rFonts w:cstheme="minorHAnsi"/>
                <w:b w:val="0"/>
                <w:bCs w:val="0"/>
                <w:i w:val="0"/>
                <w:sz w:val="22"/>
                <w:szCs w:val="22"/>
                <w:lang w:eastAsia="en-AU"/>
              </w:rPr>
            </w:pPr>
            <w:r w:rsidRPr="002F3BB0">
              <w:rPr>
                <w:rFonts w:cstheme="minorHAnsi"/>
                <w:b w:val="0"/>
                <w:bCs w:val="0"/>
                <w:i w:val="0"/>
                <w:sz w:val="22"/>
                <w:szCs w:val="22"/>
                <w:lang w:eastAsia="en-AU"/>
              </w:rPr>
              <w:t>North</w:t>
            </w:r>
          </w:p>
        </w:tc>
        <w:tc>
          <w:tcPr>
            <w:tcW w:w="1602" w:type="dxa"/>
            <w:vMerge w:val="restart"/>
          </w:tcPr>
          <w:p w:rsidR="002877CF" w:rsidRPr="002F3BB0" w:rsidRDefault="002877CF" w:rsidP="002877CF">
            <w:pPr>
              <w:widowControl w:val="0"/>
              <w:tabs>
                <w:tab w:val="left" w:pos="2340"/>
              </w:tabs>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i w:val="0"/>
                <w:sz w:val="22"/>
                <w:szCs w:val="22"/>
                <w:lang w:eastAsia="en-AU"/>
              </w:rPr>
            </w:pPr>
            <w:r w:rsidRPr="002F3BB0">
              <w:rPr>
                <w:rFonts w:cstheme="minorHAnsi"/>
                <w:b w:val="0"/>
                <w:bCs w:val="0"/>
                <w:i w:val="0"/>
                <w:sz w:val="22"/>
                <w:szCs w:val="22"/>
                <w:lang w:eastAsia="en-AU"/>
              </w:rPr>
              <w:t>Far North</w:t>
            </w:r>
          </w:p>
        </w:tc>
        <w:tc>
          <w:tcPr>
            <w:cnfStyle w:val="000010000000" w:firstRow="0" w:lastRow="0" w:firstColumn="0" w:lastColumn="0" w:oddVBand="1" w:evenVBand="0" w:oddHBand="0" w:evenHBand="0" w:firstRowFirstColumn="0" w:firstRowLastColumn="0" w:lastRowFirstColumn="0" w:lastRowLastColumn="0"/>
            <w:tcW w:w="1603" w:type="dxa"/>
            <w:vMerge w:val="restart"/>
          </w:tcPr>
          <w:p w:rsidR="002877CF" w:rsidRPr="002F3BB0" w:rsidRDefault="002877CF" w:rsidP="002877CF">
            <w:pPr>
              <w:widowControl w:val="0"/>
              <w:tabs>
                <w:tab w:val="left" w:pos="2340"/>
              </w:tabs>
              <w:spacing w:before="40" w:after="40"/>
              <w:jc w:val="center"/>
              <w:rPr>
                <w:rFonts w:cstheme="minorHAnsi"/>
                <w:b w:val="0"/>
                <w:bCs w:val="0"/>
                <w:i w:val="0"/>
                <w:sz w:val="22"/>
                <w:szCs w:val="22"/>
                <w:lang w:eastAsia="en-AU"/>
              </w:rPr>
            </w:pPr>
            <w:r w:rsidRPr="002F3BB0">
              <w:rPr>
                <w:rFonts w:cstheme="minorHAnsi"/>
                <w:b w:val="0"/>
                <w:bCs w:val="0"/>
                <w:i w:val="0"/>
                <w:sz w:val="22"/>
                <w:szCs w:val="22"/>
                <w:lang w:eastAsia="en-AU"/>
              </w:rPr>
              <w:t>State-wide</w:t>
            </w:r>
          </w:p>
        </w:tc>
        <w:tc>
          <w:tcPr>
            <w:cnfStyle w:val="000100000000" w:firstRow="0" w:lastRow="0" w:firstColumn="0" w:lastColumn="1" w:oddVBand="0" w:evenVBand="0" w:oddHBand="0" w:evenHBand="0" w:firstRowFirstColumn="0" w:firstRowLastColumn="0" w:lastRowFirstColumn="0" w:lastRowLastColumn="0"/>
            <w:tcW w:w="2439" w:type="dxa"/>
            <w:vMerge w:val="restart"/>
          </w:tcPr>
          <w:p w:rsidR="002877CF" w:rsidRPr="002F3BB0" w:rsidRDefault="002877CF" w:rsidP="002877CF">
            <w:pPr>
              <w:widowControl w:val="0"/>
              <w:tabs>
                <w:tab w:val="left" w:pos="2340"/>
              </w:tabs>
              <w:spacing w:before="40" w:after="40"/>
              <w:jc w:val="center"/>
              <w:rPr>
                <w:rFonts w:cstheme="minorHAnsi"/>
                <w:b w:val="0"/>
                <w:bCs w:val="0"/>
                <w:i w:val="0"/>
                <w:sz w:val="22"/>
                <w:szCs w:val="22"/>
                <w:lang w:eastAsia="en-AU"/>
              </w:rPr>
            </w:pPr>
            <w:r w:rsidRPr="002F3BB0">
              <w:rPr>
                <w:rFonts w:cstheme="minorHAnsi"/>
                <w:b w:val="0"/>
                <w:bCs w:val="0"/>
                <w:i w:val="0"/>
                <w:sz w:val="22"/>
                <w:szCs w:val="22"/>
                <w:lang w:eastAsia="en-AU"/>
              </w:rPr>
              <w:t>% Outcome for accepted complaints state-wide</w:t>
            </w:r>
          </w:p>
        </w:tc>
      </w:tr>
      <w:tr w:rsidR="002877CF" w:rsidRPr="002F3BB0" w:rsidTr="00585B86">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193" w:type="dxa"/>
            <w:vMerge/>
          </w:tcPr>
          <w:p w:rsidR="002877CF" w:rsidRPr="002F3BB0" w:rsidRDefault="002877CF" w:rsidP="002877CF">
            <w:pPr>
              <w:widowControl w:val="0"/>
              <w:spacing w:before="40" w:after="40"/>
              <w:rPr>
                <w:rFonts w:cstheme="minorHAnsi"/>
                <w:color w:val="FF000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1758" w:type="dxa"/>
            <w:vMerge/>
          </w:tcPr>
          <w:p w:rsidR="002877CF" w:rsidRPr="002F3BB0" w:rsidRDefault="002877CF" w:rsidP="002877CF">
            <w:pPr>
              <w:widowControl w:val="0"/>
              <w:tabs>
                <w:tab w:val="left" w:pos="2340"/>
              </w:tabs>
              <w:spacing w:before="40" w:after="40"/>
              <w:rPr>
                <w:rFonts w:cstheme="minorHAnsi"/>
                <w:b/>
                <w:bCs/>
                <w:i w:val="0"/>
                <w:sz w:val="22"/>
                <w:szCs w:val="22"/>
                <w:lang w:eastAsia="en-AU"/>
              </w:rPr>
            </w:pPr>
          </w:p>
        </w:tc>
        <w:tc>
          <w:tcPr>
            <w:tcW w:w="1353" w:type="dxa"/>
            <w:vMerge/>
          </w:tcPr>
          <w:p w:rsidR="002877CF" w:rsidRPr="002F3BB0" w:rsidRDefault="002877CF" w:rsidP="002877CF">
            <w:pPr>
              <w:widowControl w:val="0"/>
              <w:tabs>
                <w:tab w:val="left" w:pos="2340"/>
              </w:tabs>
              <w:spacing w:before="40" w:after="40"/>
              <w:cnfStyle w:val="000000100000" w:firstRow="0" w:lastRow="0" w:firstColumn="0" w:lastColumn="0" w:oddVBand="0" w:evenVBand="0" w:oddHBand="1" w:evenHBand="0" w:firstRowFirstColumn="0" w:firstRowLastColumn="0" w:lastRowFirstColumn="0" w:lastRowLastColumn="0"/>
              <w:rPr>
                <w:rFonts w:cstheme="minorHAnsi"/>
                <w:b/>
                <w:bCs/>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1470" w:type="dxa"/>
            <w:vMerge/>
          </w:tcPr>
          <w:p w:rsidR="002877CF" w:rsidRPr="002F3BB0" w:rsidRDefault="002877CF" w:rsidP="002877CF">
            <w:pPr>
              <w:widowControl w:val="0"/>
              <w:tabs>
                <w:tab w:val="left" w:pos="2340"/>
              </w:tabs>
              <w:spacing w:before="40" w:after="40"/>
              <w:rPr>
                <w:rFonts w:cstheme="minorHAnsi"/>
                <w:b/>
                <w:bCs/>
                <w:i w:val="0"/>
                <w:sz w:val="22"/>
                <w:szCs w:val="22"/>
                <w:lang w:eastAsia="en-AU"/>
              </w:rPr>
            </w:pPr>
          </w:p>
        </w:tc>
        <w:tc>
          <w:tcPr>
            <w:tcW w:w="1602" w:type="dxa"/>
            <w:vMerge/>
          </w:tcPr>
          <w:p w:rsidR="002877CF" w:rsidRPr="002F3BB0" w:rsidRDefault="002877CF" w:rsidP="002877CF">
            <w:pPr>
              <w:widowControl w:val="0"/>
              <w:tabs>
                <w:tab w:val="left" w:pos="2340"/>
              </w:tabs>
              <w:spacing w:before="40" w:after="40"/>
              <w:cnfStyle w:val="000000100000" w:firstRow="0" w:lastRow="0" w:firstColumn="0" w:lastColumn="0" w:oddVBand="0" w:evenVBand="0" w:oddHBand="1" w:evenHBand="0" w:firstRowFirstColumn="0" w:firstRowLastColumn="0" w:lastRowFirstColumn="0" w:lastRowLastColumn="0"/>
              <w:rPr>
                <w:rFonts w:cstheme="minorHAnsi"/>
                <w:b/>
                <w:bCs/>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1603" w:type="dxa"/>
            <w:vMerge/>
          </w:tcPr>
          <w:p w:rsidR="002877CF" w:rsidRPr="002F3BB0" w:rsidRDefault="002877CF" w:rsidP="002877CF">
            <w:pPr>
              <w:widowControl w:val="0"/>
              <w:tabs>
                <w:tab w:val="left" w:pos="2340"/>
              </w:tabs>
              <w:spacing w:before="40" w:after="40"/>
              <w:rPr>
                <w:rFonts w:cstheme="minorHAnsi"/>
                <w:b/>
                <w:bCs/>
                <w:i w:val="0"/>
                <w:sz w:val="22"/>
                <w:szCs w:val="22"/>
                <w:lang w:eastAsia="en-AU"/>
              </w:rPr>
            </w:pPr>
          </w:p>
        </w:tc>
        <w:tc>
          <w:tcPr>
            <w:cnfStyle w:val="000100000000" w:firstRow="0" w:lastRow="0" w:firstColumn="0" w:lastColumn="1" w:oddVBand="0" w:evenVBand="0" w:oddHBand="0" w:evenHBand="0" w:firstRowFirstColumn="0" w:firstRowLastColumn="0" w:lastRowFirstColumn="0" w:lastRowLastColumn="0"/>
            <w:tcW w:w="2439" w:type="dxa"/>
            <w:vMerge/>
          </w:tcPr>
          <w:p w:rsidR="002877CF" w:rsidRPr="002F3BB0" w:rsidRDefault="002877CF" w:rsidP="002877CF">
            <w:pPr>
              <w:widowControl w:val="0"/>
              <w:tabs>
                <w:tab w:val="left" w:pos="2340"/>
              </w:tabs>
              <w:spacing w:before="40" w:after="40"/>
              <w:rPr>
                <w:rFonts w:cstheme="minorHAnsi"/>
                <w:b w:val="0"/>
                <w:bCs w:val="0"/>
                <w:i w:val="0"/>
                <w:sz w:val="22"/>
                <w:szCs w:val="22"/>
                <w:lang w:eastAsia="en-AU"/>
              </w:rPr>
            </w:pPr>
          </w:p>
        </w:tc>
      </w:tr>
      <w:tr w:rsidR="002877CF" w:rsidRPr="002F3BB0" w:rsidTr="00585B86">
        <w:tc>
          <w:tcPr>
            <w:cnfStyle w:val="001000000000" w:firstRow="0" w:lastRow="0" w:firstColumn="1" w:lastColumn="0" w:oddVBand="0" w:evenVBand="0" w:oddHBand="0" w:evenHBand="0" w:firstRowFirstColumn="0" w:firstRowLastColumn="0" w:lastRowFirstColumn="0" w:lastRowLastColumn="0"/>
            <w:tcW w:w="3193" w:type="dxa"/>
          </w:tcPr>
          <w:p w:rsidR="002877CF" w:rsidRPr="00585B86" w:rsidRDefault="002877CF"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Conciliated</w:t>
            </w:r>
          </w:p>
        </w:tc>
        <w:tc>
          <w:tcPr>
            <w:cnfStyle w:val="000010000000" w:firstRow="0" w:lastRow="0" w:firstColumn="0" w:lastColumn="0" w:oddVBand="1" w:evenVBand="0" w:oddHBand="0" w:evenHBand="0" w:firstRowFirstColumn="0" w:firstRowLastColumn="0" w:lastRowFirstColumn="0" w:lastRowLastColumn="0"/>
            <w:tcW w:w="1758"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151</w:t>
            </w:r>
          </w:p>
        </w:tc>
        <w:tc>
          <w:tcPr>
            <w:tcW w:w="1353" w:type="dxa"/>
          </w:tcPr>
          <w:p w:rsidR="002877CF"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29</w:t>
            </w:r>
          </w:p>
        </w:tc>
        <w:tc>
          <w:tcPr>
            <w:cnfStyle w:val="000010000000" w:firstRow="0" w:lastRow="0" w:firstColumn="0" w:lastColumn="0" w:oddVBand="1" w:evenVBand="0" w:oddHBand="0" w:evenHBand="0" w:firstRowFirstColumn="0" w:firstRowLastColumn="0" w:lastRowFirstColumn="0" w:lastRowLastColumn="0"/>
            <w:tcW w:w="1470"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25</w:t>
            </w:r>
          </w:p>
        </w:tc>
        <w:tc>
          <w:tcPr>
            <w:tcW w:w="1602" w:type="dxa"/>
          </w:tcPr>
          <w:p w:rsidR="002877CF"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52</w:t>
            </w:r>
          </w:p>
        </w:tc>
        <w:tc>
          <w:tcPr>
            <w:cnfStyle w:val="000010000000" w:firstRow="0" w:lastRow="0" w:firstColumn="0" w:lastColumn="0" w:oddVBand="1" w:evenVBand="0" w:oddHBand="0" w:evenHBand="0" w:firstRowFirstColumn="0" w:firstRowLastColumn="0" w:lastRowFirstColumn="0" w:lastRowLastColumn="0"/>
            <w:tcW w:w="1603"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257</w:t>
            </w:r>
          </w:p>
        </w:tc>
        <w:tc>
          <w:tcPr>
            <w:cnfStyle w:val="000100000000" w:firstRow="0" w:lastRow="0" w:firstColumn="0" w:lastColumn="1" w:oddVBand="0" w:evenVBand="0" w:oddHBand="0" w:evenHBand="0" w:firstRowFirstColumn="0" w:firstRowLastColumn="0" w:lastRowFirstColumn="0" w:lastRowLastColumn="0"/>
            <w:tcW w:w="2439" w:type="dxa"/>
          </w:tcPr>
          <w:p w:rsidR="002877CF"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61.3%</w:t>
            </w:r>
          </w:p>
        </w:tc>
      </w:tr>
      <w:tr w:rsidR="002877CF"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rsidR="002877CF" w:rsidRPr="00585B86" w:rsidRDefault="002877CF"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Lost contact (s169)</w:t>
            </w:r>
          </w:p>
        </w:tc>
        <w:tc>
          <w:tcPr>
            <w:cnfStyle w:val="000010000000" w:firstRow="0" w:lastRow="0" w:firstColumn="0" w:lastColumn="0" w:oddVBand="1" w:evenVBand="0" w:oddHBand="0" w:evenHBand="0" w:firstRowFirstColumn="0" w:firstRowLastColumn="0" w:lastRowFirstColumn="0" w:lastRowLastColumn="0"/>
            <w:tcW w:w="1758"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7</w:t>
            </w:r>
          </w:p>
        </w:tc>
        <w:tc>
          <w:tcPr>
            <w:tcW w:w="1353" w:type="dxa"/>
          </w:tcPr>
          <w:p w:rsidR="002877CF"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w:t>
            </w:r>
          </w:p>
        </w:tc>
        <w:tc>
          <w:tcPr>
            <w:cnfStyle w:val="000010000000" w:firstRow="0" w:lastRow="0" w:firstColumn="0" w:lastColumn="0" w:oddVBand="1" w:evenVBand="0" w:oddHBand="0" w:evenHBand="0" w:firstRowFirstColumn="0" w:firstRowLastColumn="0" w:lastRowFirstColumn="0" w:lastRowLastColumn="0"/>
            <w:tcW w:w="1470"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w:t>
            </w:r>
          </w:p>
        </w:tc>
        <w:tc>
          <w:tcPr>
            <w:tcW w:w="1602" w:type="dxa"/>
          </w:tcPr>
          <w:p w:rsidR="002877CF"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3</w:t>
            </w:r>
          </w:p>
        </w:tc>
        <w:tc>
          <w:tcPr>
            <w:cnfStyle w:val="000010000000" w:firstRow="0" w:lastRow="0" w:firstColumn="0" w:lastColumn="0" w:oddVBand="1" w:evenVBand="0" w:oddHBand="0" w:evenHBand="0" w:firstRowFirstColumn="0" w:firstRowLastColumn="0" w:lastRowFirstColumn="0" w:lastRowLastColumn="0"/>
            <w:tcW w:w="1603"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11</w:t>
            </w:r>
          </w:p>
        </w:tc>
        <w:tc>
          <w:tcPr>
            <w:cnfStyle w:val="000100000000" w:firstRow="0" w:lastRow="0" w:firstColumn="0" w:lastColumn="1" w:oddVBand="0" w:evenVBand="0" w:oddHBand="0" w:evenHBand="0" w:firstRowFirstColumn="0" w:firstRowLastColumn="0" w:lastRowFirstColumn="0" w:lastRowLastColumn="0"/>
            <w:tcW w:w="2439" w:type="dxa"/>
          </w:tcPr>
          <w:p w:rsidR="002877CF"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2.6%</w:t>
            </w:r>
          </w:p>
        </w:tc>
      </w:tr>
      <w:tr w:rsidR="002877CF" w:rsidRPr="002F3BB0" w:rsidTr="00585B86">
        <w:trPr>
          <w:trHeight w:val="268"/>
        </w:trPr>
        <w:tc>
          <w:tcPr>
            <w:cnfStyle w:val="001000000000" w:firstRow="0" w:lastRow="0" w:firstColumn="1" w:lastColumn="0" w:oddVBand="0" w:evenVBand="0" w:oddHBand="0" w:evenHBand="0" w:firstRowFirstColumn="0" w:firstRowLastColumn="0" w:lastRowFirstColumn="0" w:lastRowLastColumn="0"/>
            <w:tcW w:w="3193" w:type="dxa"/>
          </w:tcPr>
          <w:p w:rsidR="002877CF" w:rsidRPr="00585B86" w:rsidRDefault="002877CF"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Referred to QCAT</w:t>
            </w:r>
          </w:p>
        </w:tc>
        <w:tc>
          <w:tcPr>
            <w:cnfStyle w:val="000010000000" w:firstRow="0" w:lastRow="0" w:firstColumn="0" w:lastColumn="0" w:oddVBand="1" w:evenVBand="0" w:oddHBand="0" w:evenHBand="0" w:firstRowFirstColumn="0" w:firstRowLastColumn="0" w:lastRowFirstColumn="0" w:lastRowLastColumn="0"/>
            <w:tcW w:w="1758"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59</w:t>
            </w:r>
          </w:p>
        </w:tc>
        <w:tc>
          <w:tcPr>
            <w:tcW w:w="1353" w:type="dxa"/>
          </w:tcPr>
          <w:p w:rsidR="002877CF"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12</w:t>
            </w:r>
          </w:p>
        </w:tc>
        <w:tc>
          <w:tcPr>
            <w:cnfStyle w:val="000010000000" w:firstRow="0" w:lastRow="0" w:firstColumn="0" w:lastColumn="0" w:oddVBand="1" w:evenVBand="0" w:oddHBand="0" w:evenHBand="0" w:firstRowFirstColumn="0" w:firstRowLastColumn="0" w:lastRowFirstColumn="0" w:lastRowLastColumn="0"/>
            <w:tcW w:w="1470"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4</w:t>
            </w:r>
          </w:p>
        </w:tc>
        <w:tc>
          <w:tcPr>
            <w:tcW w:w="1602" w:type="dxa"/>
          </w:tcPr>
          <w:p w:rsidR="002877CF"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15</w:t>
            </w:r>
          </w:p>
        </w:tc>
        <w:tc>
          <w:tcPr>
            <w:cnfStyle w:val="000010000000" w:firstRow="0" w:lastRow="0" w:firstColumn="0" w:lastColumn="0" w:oddVBand="1" w:evenVBand="0" w:oddHBand="0" w:evenHBand="0" w:firstRowFirstColumn="0" w:firstRowLastColumn="0" w:lastRowFirstColumn="0" w:lastRowLastColumn="0"/>
            <w:tcW w:w="1603"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90</w:t>
            </w:r>
          </w:p>
        </w:tc>
        <w:tc>
          <w:tcPr>
            <w:cnfStyle w:val="000100000000" w:firstRow="0" w:lastRow="0" w:firstColumn="0" w:lastColumn="1" w:oddVBand="0" w:evenVBand="0" w:oddHBand="0" w:evenHBand="0" w:firstRowFirstColumn="0" w:firstRowLastColumn="0" w:lastRowFirstColumn="0" w:lastRowLastColumn="0"/>
            <w:tcW w:w="2439" w:type="dxa"/>
          </w:tcPr>
          <w:p w:rsidR="002877CF"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21.5%</w:t>
            </w:r>
          </w:p>
        </w:tc>
      </w:tr>
      <w:tr w:rsidR="002877CF"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rsidR="002877CF" w:rsidRPr="00585B86" w:rsidRDefault="002877CF"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Lapsed (s168)</w:t>
            </w:r>
          </w:p>
        </w:tc>
        <w:tc>
          <w:tcPr>
            <w:cnfStyle w:val="000010000000" w:firstRow="0" w:lastRow="0" w:firstColumn="0" w:lastColumn="0" w:oddVBand="1" w:evenVBand="0" w:oddHBand="0" w:evenHBand="0" w:firstRowFirstColumn="0" w:firstRowLastColumn="0" w:lastRowFirstColumn="0" w:lastRowLastColumn="0"/>
            <w:tcW w:w="1758"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7</w:t>
            </w:r>
          </w:p>
        </w:tc>
        <w:tc>
          <w:tcPr>
            <w:tcW w:w="1353" w:type="dxa"/>
          </w:tcPr>
          <w:p w:rsidR="002877CF"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2</w:t>
            </w:r>
          </w:p>
        </w:tc>
        <w:tc>
          <w:tcPr>
            <w:cnfStyle w:val="000010000000" w:firstRow="0" w:lastRow="0" w:firstColumn="0" w:lastColumn="0" w:oddVBand="1" w:evenVBand="0" w:oddHBand="0" w:evenHBand="0" w:firstRowFirstColumn="0" w:firstRowLastColumn="0" w:lastRowFirstColumn="0" w:lastRowLastColumn="0"/>
            <w:tcW w:w="1470"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w:t>
            </w:r>
          </w:p>
        </w:tc>
        <w:tc>
          <w:tcPr>
            <w:tcW w:w="1602" w:type="dxa"/>
          </w:tcPr>
          <w:p w:rsidR="002877CF"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1</w:t>
            </w:r>
          </w:p>
        </w:tc>
        <w:tc>
          <w:tcPr>
            <w:cnfStyle w:val="000010000000" w:firstRow="0" w:lastRow="0" w:firstColumn="0" w:lastColumn="0" w:oddVBand="1" w:evenVBand="0" w:oddHBand="0" w:evenHBand="0" w:firstRowFirstColumn="0" w:firstRowLastColumn="0" w:lastRowFirstColumn="0" w:lastRowLastColumn="0"/>
            <w:tcW w:w="1603"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11</w:t>
            </w:r>
          </w:p>
        </w:tc>
        <w:tc>
          <w:tcPr>
            <w:cnfStyle w:val="000100000000" w:firstRow="0" w:lastRow="0" w:firstColumn="0" w:lastColumn="1" w:oddVBand="0" w:evenVBand="0" w:oddHBand="0" w:evenHBand="0" w:firstRowFirstColumn="0" w:firstRowLastColumn="0" w:lastRowFirstColumn="0" w:lastRowLastColumn="0"/>
            <w:tcW w:w="2439" w:type="dxa"/>
          </w:tcPr>
          <w:p w:rsidR="002877CF"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2.6%</w:t>
            </w:r>
          </w:p>
        </w:tc>
      </w:tr>
      <w:tr w:rsidR="002877CF" w:rsidRPr="002F3BB0" w:rsidTr="00585B86">
        <w:tc>
          <w:tcPr>
            <w:cnfStyle w:val="001000000000" w:firstRow="0" w:lastRow="0" w:firstColumn="1" w:lastColumn="0" w:oddVBand="0" w:evenVBand="0" w:oddHBand="0" w:evenHBand="0" w:firstRowFirstColumn="0" w:firstRowLastColumn="0" w:lastRowFirstColumn="0" w:lastRowLastColumn="0"/>
            <w:tcW w:w="3193" w:type="dxa"/>
          </w:tcPr>
          <w:p w:rsidR="002877CF" w:rsidRPr="00585B86" w:rsidRDefault="002877CF" w:rsidP="002877CF">
            <w:pPr>
              <w:widowControl w:val="0"/>
              <w:spacing w:before="40" w:after="40"/>
              <w:rPr>
                <w:rFonts w:cstheme="minorHAnsi"/>
                <w:b w:val="0"/>
                <w:i w:val="0"/>
                <w:sz w:val="22"/>
                <w:szCs w:val="22"/>
                <w:lang w:eastAsia="en-AU"/>
              </w:rPr>
            </w:pPr>
            <w:proofErr w:type="spellStart"/>
            <w:r w:rsidRPr="00585B86">
              <w:rPr>
                <w:rFonts w:cstheme="minorHAnsi"/>
                <w:b w:val="0"/>
                <w:i w:val="0"/>
                <w:sz w:val="22"/>
                <w:szCs w:val="22"/>
                <w:lang w:eastAsia="en-AU"/>
              </w:rPr>
              <w:t>Unconciliable</w:t>
            </w:r>
            <w:proofErr w:type="spellEnd"/>
            <w:r w:rsidRPr="00585B86">
              <w:rPr>
                <w:rFonts w:cstheme="minorHAnsi"/>
                <w:b w:val="0"/>
                <w:i w:val="0"/>
                <w:sz w:val="22"/>
                <w:szCs w:val="22"/>
                <w:lang w:eastAsia="en-AU"/>
              </w:rPr>
              <w:t xml:space="preserve"> but not referred</w:t>
            </w:r>
          </w:p>
        </w:tc>
        <w:tc>
          <w:tcPr>
            <w:cnfStyle w:val="000010000000" w:firstRow="0" w:lastRow="0" w:firstColumn="0" w:lastColumn="0" w:oddVBand="1" w:evenVBand="0" w:oddHBand="0" w:evenHBand="0" w:firstRowFirstColumn="0" w:firstRowLastColumn="0" w:lastRowFirstColumn="0" w:lastRowLastColumn="0"/>
            <w:tcW w:w="1758"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13</w:t>
            </w:r>
          </w:p>
        </w:tc>
        <w:tc>
          <w:tcPr>
            <w:tcW w:w="1353" w:type="dxa"/>
          </w:tcPr>
          <w:p w:rsidR="002877CF"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3</w:t>
            </w:r>
          </w:p>
        </w:tc>
        <w:tc>
          <w:tcPr>
            <w:cnfStyle w:val="000010000000" w:firstRow="0" w:lastRow="0" w:firstColumn="0" w:lastColumn="0" w:oddVBand="1" w:evenVBand="0" w:oddHBand="0" w:evenHBand="0" w:firstRowFirstColumn="0" w:firstRowLastColumn="0" w:lastRowFirstColumn="0" w:lastRowLastColumn="0"/>
            <w:tcW w:w="1470"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5</w:t>
            </w:r>
          </w:p>
        </w:tc>
        <w:tc>
          <w:tcPr>
            <w:tcW w:w="1602" w:type="dxa"/>
          </w:tcPr>
          <w:p w:rsidR="002877CF" w:rsidRPr="00585B86" w:rsidRDefault="00485BBE" w:rsidP="002877CF">
            <w:pPr>
              <w:widowControl w:val="0"/>
              <w:spacing w:before="40" w:after="40"/>
              <w:jc w:val="right"/>
              <w:cnfStyle w:val="000000000000" w:firstRow="0" w:lastRow="0" w:firstColumn="0" w:lastColumn="0" w:oddVBand="0" w:evenVBand="0" w:oddHBand="0"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4</w:t>
            </w:r>
          </w:p>
        </w:tc>
        <w:tc>
          <w:tcPr>
            <w:cnfStyle w:val="000010000000" w:firstRow="0" w:lastRow="0" w:firstColumn="0" w:lastColumn="0" w:oddVBand="1" w:evenVBand="0" w:oddHBand="0" w:evenHBand="0" w:firstRowFirstColumn="0" w:firstRowLastColumn="0" w:lastRowFirstColumn="0" w:lastRowLastColumn="0"/>
            <w:tcW w:w="1603"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25</w:t>
            </w:r>
          </w:p>
        </w:tc>
        <w:tc>
          <w:tcPr>
            <w:cnfStyle w:val="000100000000" w:firstRow="0" w:lastRow="0" w:firstColumn="0" w:lastColumn="1" w:oddVBand="0" w:evenVBand="0" w:oddHBand="0" w:evenHBand="0" w:firstRowFirstColumn="0" w:firstRowLastColumn="0" w:lastRowFirstColumn="0" w:lastRowLastColumn="0"/>
            <w:tcW w:w="2439" w:type="dxa"/>
          </w:tcPr>
          <w:p w:rsidR="002877CF"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6.0%</w:t>
            </w:r>
          </w:p>
        </w:tc>
      </w:tr>
      <w:tr w:rsidR="002877CF" w:rsidRPr="002F3BB0" w:rsidTr="00585B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193" w:type="dxa"/>
          </w:tcPr>
          <w:p w:rsidR="002877CF" w:rsidRPr="00585B86" w:rsidRDefault="002877CF"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Withdrawn</w:t>
            </w:r>
          </w:p>
        </w:tc>
        <w:tc>
          <w:tcPr>
            <w:cnfStyle w:val="000010000000" w:firstRow="0" w:lastRow="0" w:firstColumn="0" w:lastColumn="0" w:oddVBand="1" w:evenVBand="0" w:oddHBand="0" w:evenHBand="0" w:firstRowFirstColumn="0" w:firstRowLastColumn="0" w:lastRowFirstColumn="0" w:lastRowLastColumn="0"/>
            <w:tcW w:w="1758"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13</w:t>
            </w:r>
          </w:p>
        </w:tc>
        <w:tc>
          <w:tcPr>
            <w:tcW w:w="1353" w:type="dxa"/>
          </w:tcPr>
          <w:p w:rsidR="002877CF"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5</w:t>
            </w:r>
          </w:p>
        </w:tc>
        <w:tc>
          <w:tcPr>
            <w:cnfStyle w:val="000010000000" w:firstRow="0" w:lastRow="0" w:firstColumn="0" w:lastColumn="0" w:oddVBand="1" w:evenVBand="0" w:oddHBand="0" w:evenHBand="0" w:firstRowFirstColumn="0" w:firstRowLastColumn="0" w:lastRowFirstColumn="0" w:lastRowLastColumn="0"/>
            <w:tcW w:w="1470"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4</w:t>
            </w:r>
          </w:p>
        </w:tc>
        <w:tc>
          <w:tcPr>
            <w:tcW w:w="1602" w:type="dxa"/>
          </w:tcPr>
          <w:p w:rsidR="002877CF" w:rsidRPr="00585B86" w:rsidRDefault="00485BBE" w:rsidP="002877CF">
            <w:pPr>
              <w:widowControl w:val="0"/>
              <w:spacing w:before="40" w:after="40"/>
              <w:jc w:val="right"/>
              <w:cnfStyle w:val="000000100000" w:firstRow="0" w:lastRow="0" w:firstColumn="0" w:lastColumn="0" w:oddVBand="0" w:evenVBand="0" w:oddHBand="1" w:evenHBand="0" w:firstRowFirstColumn="0" w:firstRowLastColumn="0" w:lastRowFirstColumn="0" w:lastRowLastColumn="0"/>
              <w:rPr>
                <w:rFonts w:cstheme="minorHAnsi"/>
                <w:i w:val="0"/>
                <w:sz w:val="22"/>
                <w:szCs w:val="22"/>
                <w:lang w:eastAsia="en-AU"/>
              </w:rPr>
            </w:pPr>
            <w:r w:rsidRPr="00585B86">
              <w:rPr>
                <w:rFonts w:cstheme="minorHAnsi"/>
                <w:i w:val="0"/>
                <w:sz w:val="22"/>
                <w:szCs w:val="22"/>
                <w:lang w:eastAsia="en-AU"/>
              </w:rPr>
              <w:t>3</w:t>
            </w:r>
          </w:p>
        </w:tc>
        <w:tc>
          <w:tcPr>
            <w:cnfStyle w:val="000010000000" w:firstRow="0" w:lastRow="0" w:firstColumn="0" w:lastColumn="0" w:oddVBand="1" w:evenVBand="0" w:oddHBand="0" w:evenHBand="0" w:firstRowFirstColumn="0" w:firstRowLastColumn="0" w:lastRowFirstColumn="0" w:lastRowLastColumn="0"/>
            <w:tcW w:w="1603" w:type="dxa"/>
          </w:tcPr>
          <w:p w:rsidR="002877CF" w:rsidRPr="00585B86" w:rsidRDefault="00485BBE" w:rsidP="002877CF">
            <w:pPr>
              <w:widowControl w:val="0"/>
              <w:spacing w:before="40" w:after="40"/>
              <w:jc w:val="right"/>
              <w:rPr>
                <w:rFonts w:cstheme="minorHAnsi"/>
                <w:i w:val="0"/>
                <w:sz w:val="22"/>
                <w:szCs w:val="22"/>
                <w:lang w:eastAsia="en-AU"/>
              </w:rPr>
            </w:pPr>
            <w:r w:rsidRPr="00585B86">
              <w:rPr>
                <w:rFonts w:cstheme="minorHAnsi"/>
                <w:i w:val="0"/>
                <w:sz w:val="22"/>
                <w:szCs w:val="22"/>
                <w:lang w:eastAsia="en-AU"/>
              </w:rPr>
              <w:t>25</w:t>
            </w:r>
          </w:p>
        </w:tc>
        <w:tc>
          <w:tcPr>
            <w:cnfStyle w:val="000100000000" w:firstRow="0" w:lastRow="0" w:firstColumn="0" w:lastColumn="1" w:oddVBand="0" w:evenVBand="0" w:oddHBand="0" w:evenHBand="0" w:firstRowFirstColumn="0" w:firstRowLastColumn="0" w:lastRowFirstColumn="0" w:lastRowLastColumn="0"/>
            <w:tcW w:w="2439" w:type="dxa"/>
          </w:tcPr>
          <w:p w:rsidR="002877CF"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6.0%</w:t>
            </w:r>
          </w:p>
        </w:tc>
      </w:tr>
      <w:tr w:rsidR="002877CF" w:rsidRPr="002A0F92" w:rsidTr="00585B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tcPr>
          <w:p w:rsidR="002877CF" w:rsidRPr="00585B86" w:rsidRDefault="002877CF" w:rsidP="002877CF">
            <w:pPr>
              <w:widowControl w:val="0"/>
              <w:spacing w:before="40" w:after="40"/>
              <w:rPr>
                <w:rFonts w:cstheme="minorHAnsi"/>
                <w:b w:val="0"/>
                <w:i w:val="0"/>
                <w:sz w:val="22"/>
                <w:szCs w:val="22"/>
                <w:lang w:eastAsia="en-AU"/>
              </w:rPr>
            </w:pPr>
            <w:r w:rsidRPr="00585B86">
              <w:rPr>
                <w:rFonts w:cstheme="minorHAnsi"/>
                <w:b w:val="0"/>
                <w:i w:val="0"/>
                <w:sz w:val="22"/>
                <w:szCs w:val="22"/>
                <w:lang w:eastAsia="en-AU"/>
              </w:rPr>
              <w:t>Total</w:t>
            </w:r>
          </w:p>
        </w:tc>
        <w:tc>
          <w:tcPr>
            <w:cnfStyle w:val="000010000000" w:firstRow="0" w:lastRow="0" w:firstColumn="0" w:lastColumn="0" w:oddVBand="1" w:evenVBand="0" w:oddHBand="0" w:evenHBand="0" w:firstRowFirstColumn="0" w:firstRowLastColumn="0" w:lastRowFirstColumn="0" w:lastRowLastColumn="0"/>
            <w:tcW w:w="1758" w:type="dxa"/>
          </w:tcPr>
          <w:p w:rsidR="002877CF"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250</w:t>
            </w:r>
          </w:p>
        </w:tc>
        <w:tc>
          <w:tcPr>
            <w:tcW w:w="1353" w:type="dxa"/>
          </w:tcPr>
          <w:p w:rsidR="002877CF" w:rsidRPr="00585B86" w:rsidRDefault="00485BBE" w:rsidP="002877CF">
            <w:pPr>
              <w:widowControl w:val="0"/>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b w:val="0"/>
                <w:i w:val="0"/>
                <w:sz w:val="22"/>
                <w:szCs w:val="22"/>
                <w:lang w:eastAsia="en-AU"/>
              </w:rPr>
            </w:pPr>
            <w:r w:rsidRPr="00585B86">
              <w:rPr>
                <w:rFonts w:cstheme="minorHAnsi"/>
                <w:b w:val="0"/>
                <w:i w:val="0"/>
                <w:sz w:val="22"/>
                <w:szCs w:val="22"/>
                <w:lang w:eastAsia="en-AU"/>
              </w:rPr>
              <w:t>52</w:t>
            </w:r>
          </w:p>
        </w:tc>
        <w:tc>
          <w:tcPr>
            <w:cnfStyle w:val="000010000000" w:firstRow="0" w:lastRow="0" w:firstColumn="0" w:lastColumn="0" w:oddVBand="1" w:evenVBand="0" w:oddHBand="0" w:evenHBand="0" w:firstRowFirstColumn="0" w:firstRowLastColumn="0" w:lastRowFirstColumn="0" w:lastRowLastColumn="0"/>
            <w:tcW w:w="1470" w:type="dxa"/>
          </w:tcPr>
          <w:p w:rsidR="002877CF"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39</w:t>
            </w:r>
          </w:p>
        </w:tc>
        <w:tc>
          <w:tcPr>
            <w:tcW w:w="1602" w:type="dxa"/>
          </w:tcPr>
          <w:p w:rsidR="002877CF" w:rsidRPr="00585B86" w:rsidRDefault="00485BBE" w:rsidP="002877CF">
            <w:pPr>
              <w:widowControl w:val="0"/>
              <w:spacing w:before="40" w:after="40"/>
              <w:jc w:val="right"/>
              <w:cnfStyle w:val="010000000000" w:firstRow="0" w:lastRow="1" w:firstColumn="0" w:lastColumn="0" w:oddVBand="0" w:evenVBand="0" w:oddHBand="0" w:evenHBand="0" w:firstRowFirstColumn="0" w:firstRowLastColumn="0" w:lastRowFirstColumn="0" w:lastRowLastColumn="0"/>
              <w:rPr>
                <w:rFonts w:cstheme="minorHAnsi"/>
                <w:b w:val="0"/>
                <w:i w:val="0"/>
                <w:sz w:val="22"/>
                <w:szCs w:val="22"/>
                <w:lang w:eastAsia="en-AU"/>
              </w:rPr>
            </w:pPr>
            <w:r w:rsidRPr="00585B86">
              <w:rPr>
                <w:rFonts w:cstheme="minorHAnsi"/>
                <w:b w:val="0"/>
                <w:i w:val="0"/>
                <w:sz w:val="22"/>
                <w:szCs w:val="22"/>
                <w:lang w:eastAsia="en-AU"/>
              </w:rPr>
              <w:t>78</w:t>
            </w:r>
          </w:p>
        </w:tc>
        <w:tc>
          <w:tcPr>
            <w:cnfStyle w:val="000010000000" w:firstRow="0" w:lastRow="0" w:firstColumn="0" w:lastColumn="0" w:oddVBand="1" w:evenVBand="0" w:oddHBand="0" w:evenHBand="0" w:firstRowFirstColumn="0" w:firstRowLastColumn="0" w:lastRowFirstColumn="0" w:lastRowLastColumn="0"/>
            <w:tcW w:w="1603" w:type="dxa"/>
          </w:tcPr>
          <w:p w:rsidR="002877CF" w:rsidRPr="00585B86" w:rsidRDefault="00485BBE"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419</w:t>
            </w:r>
          </w:p>
        </w:tc>
        <w:tc>
          <w:tcPr>
            <w:cnfStyle w:val="000100000000" w:firstRow="0" w:lastRow="0" w:firstColumn="0" w:lastColumn="1" w:oddVBand="0" w:evenVBand="0" w:oddHBand="0" w:evenHBand="0" w:firstRowFirstColumn="0" w:firstRowLastColumn="0" w:lastRowFirstColumn="0" w:lastRowLastColumn="0"/>
            <w:tcW w:w="2439" w:type="dxa"/>
          </w:tcPr>
          <w:p w:rsidR="002877CF" w:rsidRPr="00585B86" w:rsidRDefault="002877CF" w:rsidP="002877CF">
            <w:pPr>
              <w:widowControl w:val="0"/>
              <w:spacing w:before="40" w:after="40"/>
              <w:jc w:val="right"/>
              <w:rPr>
                <w:rFonts w:cstheme="minorHAnsi"/>
                <w:b w:val="0"/>
                <w:i w:val="0"/>
                <w:sz w:val="22"/>
                <w:szCs w:val="22"/>
                <w:lang w:eastAsia="en-AU"/>
              </w:rPr>
            </w:pPr>
            <w:r w:rsidRPr="00585B86">
              <w:rPr>
                <w:rFonts w:cstheme="minorHAnsi"/>
                <w:b w:val="0"/>
                <w:i w:val="0"/>
                <w:sz w:val="22"/>
                <w:szCs w:val="22"/>
                <w:lang w:eastAsia="en-AU"/>
              </w:rPr>
              <w:t>100.0%</w:t>
            </w:r>
          </w:p>
        </w:tc>
      </w:tr>
      <w:bookmarkEnd w:id="23"/>
    </w:tbl>
    <w:p w:rsidR="00802BE0" w:rsidRPr="002A0F92" w:rsidRDefault="00802BE0">
      <w:pPr>
        <w:rPr>
          <w:rFonts w:eastAsia="Times New Roman" w:cstheme="minorHAnsi"/>
          <w:b/>
          <w:sz w:val="22"/>
          <w:szCs w:val="22"/>
          <w:lang w:eastAsia="en-AU"/>
        </w:rPr>
      </w:pPr>
    </w:p>
    <w:p w:rsidR="0097114D" w:rsidRPr="002A0F92" w:rsidRDefault="0097114D" w:rsidP="0097114D">
      <w:pPr>
        <w:pageBreakBefore/>
        <w:spacing w:before="240" w:after="120" w:line="240" w:lineRule="auto"/>
        <w:rPr>
          <w:rFonts w:eastAsiaTheme="majorEastAsia" w:cstheme="minorHAnsi"/>
          <w:b/>
          <w:sz w:val="22"/>
          <w:szCs w:val="22"/>
        </w:rPr>
        <w:sectPr w:rsidR="0097114D" w:rsidRPr="002A0F92" w:rsidSect="008B2604">
          <w:pgSz w:w="16838" w:h="11906" w:orient="landscape" w:code="9"/>
          <w:pgMar w:top="1077" w:right="851" w:bottom="1077" w:left="902" w:header="708" w:footer="708" w:gutter="0"/>
          <w:cols w:space="720"/>
          <w:titlePg/>
          <w:docGrid w:linePitch="360"/>
        </w:sectPr>
      </w:pPr>
    </w:p>
    <w:p w:rsidR="00485BBE" w:rsidRDefault="0097114D" w:rsidP="00565444">
      <w:pPr>
        <w:pStyle w:val="Heading2"/>
        <w:rPr>
          <w:i/>
        </w:rPr>
      </w:pPr>
      <w:r w:rsidRPr="002A0F92">
        <w:lastRenderedPageBreak/>
        <w:t>Timeliness</w:t>
      </w:r>
    </w:p>
    <w:p w:rsidR="00485BBE" w:rsidRPr="002F3BB0" w:rsidRDefault="00485BBE" w:rsidP="008D5543">
      <w:pPr>
        <w:spacing w:before="120" w:after="240" w:line="240" w:lineRule="auto"/>
        <w:rPr>
          <w:rFonts w:ascii="Arial" w:hAnsi="Arial" w:cs="Arial"/>
          <w:i w:val="0"/>
          <w:sz w:val="22"/>
          <w:lang w:eastAsia="en-AU"/>
        </w:rPr>
      </w:pPr>
      <w:r w:rsidRPr="002F3BB0">
        <w:rPr>
          <w:rFonts w:ascii="Arial" w:hAnsi="Arial" w:cs="Arial"/>
          <w:i w:val="0"/>
          <w:sz w:val="22"/>
          <w:lang w:eastAsia="en-AU"/>
        </w:rPr>
        <w:t xml:space="preserve">While </w:t>
      </w:r>
      <w:proofErr w:type="gramStart"/>
      <w:r w:rsidRPr="002F3BB0">
        <w:rPr>
          <w:rFonts w:ascii="Arial" w:hAnsi="Arial" w:cs="Arial"/>
          <w:i w:val="0"/>
          <w:sz w:val="22"/>
          <w:lang w:eastAsia="en-AU"/>
        </w:rPr>
        <w:t>less complaints</w:t>
      </w:r>
      <w:proofErr w:type="gramEnd"/>
      <w:r w:rsidRPr="002F3BB0">
        <w:rPr>
          <w:rFonts w:ascii="Arial" w:hAnsi="Arial" w:cs="Arial"/>
          <w:i w:val="0"/>
          <w:sz w:val="22"/>
          <w:lang w:eastAsia="en-AU"/>
        </w:rPr>
        <w:t xml:space="preserve"> were finalised, complaints were finalised within a shorter timeframe.</w:t>
      </w:r>
    </w:p>
    <w:p w:rsidR="00485BBE" w:rsidRPr="002F3BB0" w:rsidRDefault="00485BBE" w:rsidP="008D5543">
      <w:pPr>
        <w:spacing w:before="120" w:after="240" w:line="240" w:lineRule="auto"/>
        <w:rPr>
          <w:rFonts w:ascii="Arial" w:hAnsi="Arial" w:cs="Arial"/>
          <w:i w:val="0"/>
          <w:sz w:val="22"/>
          <w:lang w:eastAsia="en-AU"/>
        </w:rPr>
      </w:pPr>
      <w:r w:rsidRPr="002F3BB0">
        <w:rPr>
          <w:rFonts w:ascii="Arial" w:hAnsi="Arial" w:cs="Arial"/>
          <w:i w:val="0"/>
          <w:sz w:val="22"/>
          <w:lang w:eastAsia="en-AU"/>
        </w:rPr>
        <w:t>66% of complaints were assessed within the 28-day legislative timeframe, which is significantly above target. Many complaints did not contain sufficient information to enable a final decision to be made. For these complaints further information was sought before a decision was made as to whether the a</w:t>
      </w:r>
      <w:r w:rsidR="009A4581">
        <w:rPr>
          <w:rFonts w:ascii="Arial" w:hAnsi="Arial" w:cs="Arial"/>
          <w:i w:val="0"/>
          <w:sz w:val="22"/>
          <w:lang w:eastAsia="en-AU"/>
        </w:rPr>
        <w:t>llegations came within the Act.</w:t>
      </w:r>
    </w:p>
    <w:p w:rsidR="00485BBE" w:rsidRPr="002F3BB0" w:rsidRDefault="00485BBE" w:rsidP="008D5543">
      <w:pPr>
        <w:spacing w:before="120" w:after="240" w:line="240" w:lineRule="auto"/>
        <w:rPr>
          <w:rFonts w:ascii="Arial" w:hAnsi="Arial" w:cs="Arial"/>
          <w:i w:val="0"/>
          <w:sz w:val="22"/>
          <w:lang w:eastAsia="en-AU"/>
        </w:rPr>
      </w:pPr>
      <w:r w:rsidRPr="002F3BB0">
        <w:rPr>
          <w:rFonts w:ascii="Arial" w:hAnsi="Arial" w:cs="Arial"/>
          <w:i w:val="0"/>
          <w:sz w:val="22"/>
          <w:lang w:eastAsia="en-AU"/>
        </w:rPr>
        <w:t>70% of accepted complaints reached conference within the 42-day statutory timeframe. This is consistent with targets. Conferences in the remaining matters were generally delayed where parties were unavailable to partic</w:t>
      </w:r>
      <w:r w:rsidR="009A4581">
        <w:rPr>
          <w:rFonts w:ascii="Arial" w:hAnsi="Arial" w:cs="Arial"/>
          <w:i w:val="0"/>
          <w:sz w:val="22"/>
          <w:lang w:eastAsia="en-AU"/>
        </w:rPr>
        <w:t>ipate for a variety of reasons.</w:t>
      </w:r>
    </w:p>
    <w:p w:rsidR="00485BBE" w:rsidRPr="002F3BB0" w:rsidRDefault="00485BBE" w:rsidP="008D5543">
      <w:pPr>
        <w:spacing w:before="120" w:after="0" w:line="240" w:lineRule="auto"/>
        <w:rPr>
          <w:rFonts w:ascii="Arial" w:hAnsi="Arial" w:cs="Arial"/>
          <w:i w:val="0"/>
          <w:sz w:val="22"/>
          <w:lang w:eastAsia="en-AU"/>
        </w:rPr>
      </w:pPr>
      <w:r w:rsidRPr="002F3BB0">
        <w:rPr>
          <w:rFonts w:ascii="Arial" w:hAnsi="Arial" w:cs="Arial"/>
          <w:i w:val="0"/>
          <w:sz w:val="22"/>
          <w:lang w:eastAsia="en-AU"/>
        </w:rPr>
        <w:t>67% of accepted complaints were finalised within three months of acceptance. This represents a decrease from 76 % last year but still in excess of the target. A total of 87% of accepted complaints were finalised within six months, and a total of 97% of complaints were finalised within twelve months of acceptance.  This is in line with the high levels of timeliness of finalising complaints last year, showing staff’s consistent commitment to managing complaints efficiently and effectively.</w:t>
      </w:r>
    </w:p>
    <w:p w:rsidR="00F43741" w:rsidRPr="002A0F92" w:rsidRDefault="00F43741" w:rsidP="00565444">
      <w:pPr>
        <w:pStyle w:val="Heading2"/>
        <w:rPr>
          <w:i/>
        </w:rPr>
      </w:pPr>
      <w:r w:rsidRPr="002F3BB0">
        <w:t>Conciliated outcomes</w:t>
      </w:r>
    </w:p>
    <w:p w:rsidR="00F43741" w:rsidRDefault="00F43741" w:rsidP="00F20FE3">
      <w:pPr>
        <w:spacing w:after="120" w:line="240" w:lineRule="auto"/>
        <w:rPr>
          <w:rFonts w:cstheme="minorHAnsi"/>
          <w:i w:val="0"/>
          <w:sz w:val="22"/>
          <w:szCs w:val="22"/>
          <w:lang w:eastAsia="en-AU"/>
        </w:rPr>
      </w:pPr>
      <w:r w:rsidRPr="002A0F92">
        <w:rPr>
          <w:rFonts w:cstheme="minorHAnsi"/>
          <w:i w:val="0"/>
          <w:sz w:val="22"/>
          <w:szCs w:val="22"/>
          <w:lang w:eastAsia="en-AU"/>
        </w:rPr>
        <w:t>The following are examples of complaints made to ADCQ in 201</w:t>
      </w:r>
      <w:r w:rsidR="00743D8C">
        <w:rPr>
          <w:rFonts w:cstheme="minorHAnsi"/>
          <w:i w:val="0"/>
          <w:sz w:val="22"/>
          <w:szCs w:val="22"/>
          <w:lang w:eastAsia="en-AU"/>
        </w:rPr>
        <w:t>3</w:t>
      </w:r>
      <w:r w:rsidRPr="002A0F92">
        <w:rPr>
          <w:rFonts w:cstheme="minorHAnsi"/>
          <w:i w:val="0"/>
          <w:sz w:val="22"/>
          <w:szCs w:val="22"/>
          <w:lang w:eastAsia="en-AU"/>
        </w:rPr>
        <w:t>-1</w:t>
      </w:r>
      <w:r w:rsidR="00743D8C">
        <w:rPr>
          <w:rFonts w:cstheme="minorHAnsi"/>
          <w:i w:val="0"/>
          <w:sz w:val="22"/>
          <w:szCs w:val="22"/>
          <w:lang w:eastAsia="en-AU"/>
        </w:rPr>
        <w:t>4</w:t>
      </w:r>
      <w:r w:rsidRPr="002A0F92">
        <w:rPr>
          <w:rFonts w:cstheme="minorHAnsi"/>
          <w:i w:val="0"/>
          <w:sz w:val="22"/>
          <w:szCs w:val="22"/>
          <w:lang w:eastAsia="en-AU"/>
        </w:rPr>
        <w:t xml:space="preserve"> that were successfully</w:t>
      </w:r>
      <w:r w:rsidR="009A4581">
        <w:rPr>
          <w:rFonts w:cstheme="minorHAnsi"/>
          <w:i w:val="0"/>
          <w:sz w:val="22"/>
          <w:szCs w:val="22"/>
          <w:lang w:eastAsia="en-AU"/>
        </w:rPr>
        <w:t xml:space="preserve"> resolved through conciliation.</w:t>
      </w:r>
    </w:p>
    <w:p w:rsidR="001C53F6" w:rsidRPr="00565444" w:rsidRDefault="001C53F6" w:rsidP="00565444">
      <w:pPr>
        <w:pStyle w:val="Heading3"/>
      </w:pPr>
      <w:r w:rsidRPr="00565444">
        <w:t>Woman sexually harassed and assaulted by co-worker</w:t>
      </w:r>
    </w:p>
    <w:p w:rsidR="0030686C" w:rsidRDefault="001C53F6" w:rsidP="003E32BB">
      <w:pPr>
        <w:spacing w:after="240" w:line="240" w:lineRule="auto"/>
        <w:ind w:right="-284"/>
        <w:rPr>
          <w:rFonts w:cstheme="minorHAnsi"/>
          <w:i w:val="0"/>
          <w:sz w:val="22"/>
          <w:szCs w:val="22"/>
          <w:lang w:eastAsia="en-AU"/>
        </w:rPr>
      </w:pPr>
      <w:r>
        <w:rPr>
          <w:rFonts w:cstheme="minorHAnsi"/>
          <w:i w:val="0"/>
          <w:sz w:val="22"/>
          <w:szCs w:val="22"/>
          <w:lang w:eastAsia="en-AU"/>
        </w:rPr>
        <w:t>A woman was subjected to constant comments of a highly sexual and derogator</w:t>
      </w:r>
      <w:r w:rsidR="006D1906">
        <w:rPr>
          <w:rFonts w:cstheme="minorHAnsi"/>
          <w:i w:val="0"/>
          <w:sz w:val="22"/>
          <w:szCs w:val="22"/>
          <w:lang w:eastAsia="en-AU"/>
        </w:rPr>
        <w:t>y nature over a period of two year</w:t>
      </w:r>
      <w:r>
        <w:rPr>
          <w:rFonts w:cstheme="minorHAnsi"/>
          <w:i w:val="0"/>
          <w:sz w:val="22"/>
          <w:szCs w:val="22"/>
          <w:lang w:eastAsia="en-AU"/>
        </w:rPr>
        <w:t xml:space="preserve">s by a co-worker. The sexual harassment culminated in her being seriously sexually assaulted in the bathroom and back room of her workplace by </w:t>
      </w:r>
      <w:r w:rsidR="009A4581">
        <w:rPr>
          <w:rFonts w:cstheme="minorHAnsi"/>
          <w:i w:val="0"/>
          <w:sz w:val="22"/>
          <w:szCs w:val="22"/>
          <w:lang w:eastAsia="en-AU"/>
        </w:rPr>
        <w:t>a co-worker on three occasions.</w:t>
      </w:r>
    </w:p>
    <w:p w:rsidR="001C53F6" w:rsidRDefault="001C53F6" w:rsidP="00306487">
      <w:pPr>
        <w:spacing w:after="240" w:line="240" w:lineRule="auto"/>
        <w:rPr>
          <w:rFonts w:cstheme="minorHAnsi"/>
          <w:i w:val="0"/>
          <w:sz w:val="22"/>
          <w:szCs w:val="22"/>
          <w:lang w:eastAsia="en-AU"/>
        </w:rPr>
      </w:pPr>
      <w:r>
        <w:rPr>
          <w:rFonts w:cstheme="minorHAnsi"/>
          <w:i w:val="0"/>
          <w:sz w:val="22"/>
          <w:szCs w:val="22"/>
          <w:lang w:eastAsia="en-AU"/>
        </w:rPr>
        <w:t>Two of the three assaults were reported to the police and the respondent was convicted of criminal charges after pleading guilty. After an investigation, the employer found the woman’s allegations were subst</w:t>
      </w:r>
      <w:r w:rsidR="009A4581">
        <w:rPr>
          <w:rFonts w:cstheme="minorHAnsi"/>
          <w:i w:val="0"/>
          <w:sz w:val="22"/>
          <w:szCs w:val="22"/>
          <w:lang w:eastAsia="en-AU"/>
        </w:rPr>
        <w:t>antiated and dismissed the man.</w:t>
      </w:r>
    </w:p>
    <w:p w:rsidR="001C53F6" w:rsidRDefault="001C53F6" w:rsidP="00306487">
      <w:pPr>
        <w:spacing w:after="240" w:line="240" w:lineRule="auto"/>
        <w:rPr>
          <w:rFonts w:cstheme="minorHAnsi"/>
          <w:i w:val="0"/>
          <w:sz w:val="22"/>
          <w:szCs w:val="22"/>
          <w:lang w:eastAsia="en-AU"/>
        </w:rPr>
      </w:pPr>
      <w:r>
        <w:rPr>
          <w:rFonts w:cstheme="minorHAnsi"/>
          <w:i w:val="0"/>
          <w:sz w:val="22"/>
          <w:szCs w:val="22"/>
          <w:lang w:eastAsia="en-AU"/>
        </w:rPr>
        <w:t>The woman was seriously impacted by the events. She left her job because she couldn’t continue working where the events had occurred, had self-harmed and attempted suicide and was un</w:t>
      </w:r>
      <w:r w:rsidR="009A4581">
        <w:rPr>
          <w:rFonts w:cstheme="minorHAnsi"/>
          <w:i w:val="0"/>
          <w:sz w:val="22"/>
          <w:szCs w:val="22"/>
          <w:lang w:eastAsia="en-AU"/>
        </w:rPr>
        <w:t>der the care of a psychiatrist.</w:t>
      </w:r>
    </w:p>
    <w:p w:rsidR="001C53F6" w:rsidRDefault="001C53F6" w:rsidP="00306487">
      <w:pPr>
        <w:spacing w:after="240" w:line="240" w:lineRule="auto"/>
        <w:rPr>
          <w:rFonts w:cstheme="minorHAnsi"/>
          <w:i w:val="0"/>
          <w:sz w:val="22"/>
          <w:szCs w:val="22"/>
          <w:lang w:eastAsia="en-AU"/>
        </w:rPr>
      </w:pPr>
      <w:r>
        <w:rPr>
          <w:rFonts w:cstheme="minorHAnsi"/>
          <w:i w:val="0"/>
          <w:sz w:val="22"/>
          <w:szCs w:val="22"/>
          <w:lang w:eastAsia="en-AU"/>
        </w:rPr>
        <w:t>Initially in response to the woman’s complain of sexual harassment, the employer argued that they had provided an induction process and training to their employees and so were not responsible for the man’s sexual harassment. The man said that he had only entered a guilty plea to the criminal charges because of poor legal advice and the sexual relationship</w:t>
      </w:r>
      <w:r w:rsidR="009A4581">
        <w:rPr>
          <w:rFonts w:cstheme="minorHAnsi"/>
          <w:i w:val="0"/>
          <w:sz w:val="22"/>
          <w:szCs w:val="22"/>
          <w:lang w:eastAsia="en-AU"/>
        </w:rPr>
        <w:t xml:space="preserve"> with the woman was consensual.</w:t>
      </w:r>
    </w:p>
    <w:p w:rsidR="001C53F6" w:rsidRDefault="001C53F6" w:rsidP="00306487">
      <w:pPr>
        <w:spacing w:after="0" w:line="240" w:lineRule="auto"/>
        <w:rPr>
          <w:rFonts w:cstheme="minorHAnsi"/>
          <w:i w:val="0"/>
          <w:sz w:val="22"/>
          <w:szCs w:val="22"/>
          <w:lang w:eastAsia="en-AU"/>
        </w:rPr>
      </w:pPr>
      <w:r>
        <w:rPr>
          <w:rFonts w:cstheme="minorHAnsi"/>
          <w:i w:val="0"/>
          <w:sz w:val="22"/>
          <w:szCs w:val="22"/>
          <w:lang w:eastAsia="en-AU"/>
        </w:rPr>
        <w:t xml:space="preserve">At the conciliation conference the man and his employer both agreed to pay </w:t>
      </w:r>
      <w:r w:rsidR="006D1906">
        <w:rPr>
          <w:rFonts w:cstheme="minorHAnsi"/>
          <w:i w:val="0"/>
          <w:sz w:val="22"/>
          <w:szCs w:val="22"/>
          <w:lang w:eastAsia="en-AU"/>
        </w:rPr>
        <w:t>a</w:t>
      </w:r>
      <w:r>
        <w:rPr>
          <w:rFonts w:cstheme="minorHAnsi"/>
          <w:i w:val="0"/>
          <w:sz w:val="22"/>
          <w:szCs w:val="22"/>
          <w:lang w:eastAsia="en-AU"/>
        </w:rPr>
        <w:t xml:space="preserve"> significant </w:t>
      </w:r>
      <w:r w:rsidR="006D1906">
        <w:rPr>
          <w:rFonts w:cstheme="minorHAnsi"/>
          <w:i w:val="0"/>
          <w:sz w:val="22"/>
          <w:szCs w:val="22"/>
          <w:lang w:eastAsia="en-AU"/>
        </w:rPr>
        <w:t xml:space="preserve">amount in </w:t>
      </w:r>
      <w:r>
        <w:rPr>
          <w:rFonts w:cstheme="minorHAnsi"/>
          <w:i w:val="0"/>
          <w:sz w:val="22"/>
          <w:szCs w:val="22"/>
          <w:lang w:eastAsia="en-AU"/>
        </w:rPr>
        <w:t>compensation for the hurt an</w:t>
      </w:r>
      <w:r w:rsidR="009A4581">
        <w:rPr>
          <w:rFonts w:cstheme="minorHAnsi"/>
          <w:i w:val="0"/>
          <w:sz w:val="22"/>
          <w:szCs w:val="22"/>
          <w:lang w:eastAsia="en-AU"/>
        </w:rPr>
        <w:t xml:space="preserve">d humiliation </w:t>
      </w:r>
      <w:r w:rsidR="006D1906">
        <w:rPr>
          <w:rFonts w:cstheme="minorHAnsi"/>
          <w:i w:val="0"/>
          <w:sz w:val="22"/>
          <w:szCs w:val="22"/>
          <w:lang w:eastAsia="en-AU"/>
        </w:rPr>
        <w:t>the woman</w:t>
      </w:r>
      <w:r w:rsidR="009A4581">
        <w:rPr>
          <w:rFonts w:cstheme="minorHAnsi"/>
          <w:i w:val="0"/>
          <w:sz w:val="22"/>
          <w:szCs w:val="22"/>
          <w:lang w:eastAsia="en-AU"/>
        </w:rPr>
        <w:t xml:space="preserve"> had suffered.</w:t>
      </w:r>
    </w:p>
    <w:p w:rsidR="001C53F6" w:rsidRPr="00565444" w:rsidRDefault="001C53F6" w:rsidP="00565444">
      <w:pPr>
        <w:pStyle w:val="Heading3"/>
      </w:pPr>
      <w:r w:rsidRPr="00EE1ADC">
        <w:t>Eligibility for subsidy excluded woman with different impairments</w:t>
      </w:r>
    </w:p>
    <w:p w:rsidR="001C53F6" w:rsidRDefault="001C53F6" w:rsidP="00306487">
      <w:pPr>
        <w:spacing w:after="240" w:line="240" w:lineRule="auto"/>
        <w:rPr>
          <w:rFonts w:cstheme="minorHAnsi"/>
          <w:i w:val="0"/>
          <w:sz w:val="22"/>
          <w:szCs w:val="22"/>
          <w:lang w:eastAsia="en-AU"/>
        </w:rPr>
      </w:pPr>
      <w:r>
        <w:rPr>
          <w:rFonts w:cstheme="minorHAnsi"/>
          <w:i w:val="0"/>
          <w:sz w:val="22"/>
          <w:szCs w:val="22"/>
          <w:lang w:eastAsia="en-AU"/>
        </w:rPr>
        <w:t xml:space="preserve">A woman with fibromyalgia and chronic fatigue syndrome (CFS) applied for a government subsidised program on the basis that she had certain mobility restrictions that made her eligible. Her application included her GP’s opinion that her fibromyalgia and CFS restricted her mobility to the extent that she was eligible for the </w:t>
      </w:r>
      <w:r w:rsidR="009A4581">
        <w:rPr>
          <w:rFonts w:cstheme="minorHAnsi"/>
          <w:i w:val="0"/>
          <w:sz w:val="22"/>
          <w:szCs w:val="22"/>
          <w:lang w:eastAsia="en-AU"/>
        </w:rPr>
        <w:t>program.</w:t>
      </w:r>
    </w:p>
    <w:p w:rsidR="001C53F6" w:rsidRDefault="001C53F6" w:rsidP="00306487">
      <w:pPr>
        <w:spacing w:after="240" w:line="240" w:lineRule="auto"/>
        <w:rPr>
          <w:rFonts w:cstheme="minorHAnsi"/>
          <w:i w:val="0"/>
          <w:sz w:val="22"/>
          <w:szCs w:val="22"/>
          <w:lang w:eastAsia="en-AU"/>
        </w:rPr>
      </w:pPr>
      <w:r>
        <w:rPr>
          <w:rFonts w:cstheme="minorHAnsi"/>
          <w:i w:val="0"/>
          <w:sz w:val="22"/>
          <w:szCs w:val="22"/>
          <w:lang w:eastAsia="en-AU"/>
        </w:rPr>
        <w:t xml:space="preserve">Her application was rejected on the basis that her disability did not meet the criteria and when she rang to enquire, she was told that ‘fibromyalgia and CFS are not </w:t>
      </w:r>
      <w:r w:rsidR="00A614E7">
        <w:rPr>
          <w:rFonts w:cstheme="minorHAnsi"/>
          <w:i w:val="0"/>
          <w:sz w:val="22"/>
          <w:szCs w:val="22"/>
          <w:lang w:eastAsia="en-AU"/>
        </w:rPr>
        <w:t>valid illnesses for this scheme’.</w:t>
      </w:r>
    </w:p>
    <w:p w:rsidR="00A614E7" w:rsidRDefault="00A614E7" w:rsidP="00306487">
      <w:pPr>
        <w:spacing w:after="0" w:line="240" w:lineRule="auto"/>
        <w:rPr>
          <w:rFonts w:cstheme="minorHAnsi"/>
          <w:i w:val="0"/>
          <w:sz w:val="22"/>
          <w:szCs w:val="22"/>
          <w:lang w:eastAsia="en-AU"/>
        </w:rPr>
      </w:pPr>
      <w:r>
        <w:rPr>
          <w:rFonts w:cstheme="minorHAnsi"/>
          <w:i w:val="0"/>
          <w:sz w:val="22"/>
          <w:szCs w:val="22"/>
          <w:lang w:eastAsia="en-AU"/>
        </w:rPr>
        <w:t xml:space="preserve">Through conciliation, the complainant was encouraged to reapply for membership and when she did, she was granted membership for a one year period based on other medical conditions that </w:t>
      </w:r>
      <w:r>
        <w:rPr>
          <w:rFonts w:cstheme="minorHAnsi"/>
          <w:i w:val="0"/>
          <w:sz w:val="22"/>
          <w:szCs w:val="22"/>
          <w:lang w:eastAsia="en-AU"/>
        </w:rPr>
        <w:lastRenderedPageBreak/>
        <w:t>restricted her mobility. The second respondent also agreed to conduct research and seek opinions from experts in the fields of fibromyalgia and CFS and to amend its eligibility cr</w:t>
      </w:r>
      <w:r w:rsidR="009A4581">
        <w:rPr>
          <w:rFonts w:cstheme="minorHAnsi"/>
          <w:i w:val="0"/>
          <w:sz w:val="22"/>
          <w:szCs w:val="22"/>
          <w:lang w:eastAsia="en-AU"/>
        </w:rPr>
        <w:t>iteria to reflect the research.</w:t>
      </w:r>
    </w:p>
    <w:p w:rsidR="00A614E7" w:rsidRDefault="00A614E7" w:rsidP="00565444">
      <w:pPr>
        <w:pStyle w:val="Heading3"/>
        <w:rPr>
          <w:b w:val="0"/>
          <w:i/>
          <w:lang w:eastAsia="en-AU"/>
        </w:rPr>
      </w:pPr>
      <w:r w:rsidRPr="00EE1ADC">
        <w:t>Breastfeeding</w:t>
      </w:r>
      <w:r w:rsidRPr="00EE1ADC">
        <w:rPr>
          <w:lang w:eastAsia="en-AU"/>
        </w:rPr>
        <w:t xml:space="preserve"> mother not welcome at course</w:t>
      </w:r>
    </w:p>
    <w:p w:rsidR="00A614E7" w:rsidRDefault="00A614E7" w:rsidP="00306487">
      <w:pPr>
        <w:spacing w:after="240" w:line="240" w:lineRule="auto"/>
        <w:rPr>
          <w:rFonts w:cstheme="minorHAnsi"/>
          <w:i w:val="0"/>
          <w:sz w:val="22"/>
          <w:szCs w:val="22"/>
          <w:lang w:eastAsia="en-AU"/>
        </w:rPr>
      </w:pPr>
      <w:r>
        <w:rPr>
          <w:rFonts w:cstheme="minorHAnsi"/>
          <w:i w:val="0"/>
          <w:sz w:val="22"/>
          <w:szCs w:val="22"/>
          <w:lang w:eastAsia="en-AU"/>
        </w:rPr>
        <w:t>After a woman signed up for a two-day first aid course she was told that her husband could not bring along her baby to be breast fed intermittently during the day. She was told it would be too disruptive and as there were some younger people in the class it may be improper. She was also told that under their cancellation policy s</w:t>
      </w:r>
      <w:r w:rsidR="009A4581">
        <w:rPr>
          <w:rFonts w:cstheme="minorHAnsi"/>
          <w:i w:val="0"/>
          <w:sz w:val="22"/>
          <w:szCs w:val="22"/>
          <w:lang w:eastAsia="en-AU"/>
        </w:rPr>
        <w:t>he couldn’t get her money back.</w:t>
      </w:r>
    </w:p>
    <w:p w:rsidR="00A614E7" w:rsidRDefault="00A614E7" w:rsidP="00306487">
      <w:pPr>
        <w:spacing w:after="240" w:line="240" w:lineRule="auto"/>
        <w:rPr>
          <w:rFonts w:cstheme="minorHAnsi"/>
          <w:i w:val="0"/>
          <w:sz w:val="22"/>
          <w:szCs w:val="22"/>
          <w:lang w:eastAsia="en-AU"/>
        </w:rPr>
      </w:pPr>
      <w:r>
        <w:rPr>
          <w:rFonts w:cstheme="minorHAnsi"/>
          <w:i w:val="0"/>
          <w:sz w:val="22"/>
          <w:szCs w:val="22"/>
          <w:lang w:eastAsia="en-AU"/>
        </w:rPr>
        <w:t>Through conciliation, the respondent conceded that his views were a bit ‘old school’. He provided a written apology to the woman acknowledging that community attitudes towards breastfeeding had changed in recent times and expressed regret if she had been hurt or humiliated by his actions. The woman’s fee for the firs</w:t>
      </w:r>
      <w:r w:rsidR="009A4581">
        <w:rPr>
          <w:rFonts w:cstheme="minorHAnsi"/>
          <w:i w:val="0"/>
          <w:sz w:val="22"/>
          <w:szCs w:val="22"/>
          <w:lang w:eastAsia="en-AU"/>
        </w:rPr>
        <w:t>t aid course was also refunded.</w:t>
      </w:r>
    </w:p>
    <w:p w:rsidR="00A614E7" w:rsidRDefault="00A614E7" w:rsidP="00565444">
      <w:pPr>
        <w:pStyle w:val="Heading3"/>
        <w:rPr>
          <w:b w:val="0"/>
          <w:i/>
          <w:lang w:eastAsia="en-AU"/>
        </w:rPr>
      </w:pPr>
      <w:r w:rsidRPr="00EE1ADC">
        <w:rPr>
          <w:lang w:eastAsia="en-AU"/>
        </w:rPr>
        <w:t>Club now embraces female members</w:t>
      </w:r>
    </w:p>
    <w:p w:rsidR="00A614E7" w:rsidRDefault="00A614E7" w:rsidP="00306487">
      <w:pPr>
        <w:spacing w:after="240" w:line="240" w:lineRule="auto"/>
        <w:rPr>
          <w:rFonts w:cstheme="minorHAnsi"/>
          <w:i w:val="0"/>
          <w:sz w:val="22"/>
          <w:szCs w:val="22"/>
          <w:lang w:eastAsia="en-AU"/>
        </w:rPr>
      </w:pPr>
      <w:r>
        <w:rPr>
          <w:rFonts w:cstheme="minorHAnsi"/>
          <w:i w:val="0"/>
          <w:sz w:val="22"/>
          <w:szCs w:val="22"/>
          <w:lang w:eastAsia="en-AU"/>
        </w:rPr>
        <w:t>Nine women applied for full membership of a sporting club and their applications were rejected on the basis that the club’s constitution stipulated that only male</w:t>
      </w:r>
      <w:r w:rsidR="009A4581">
        <w:rPr>
          <w:rFonts w:cstheme="minorHAnsi"/>
          <w:i w:val="0"/>
          <w:sz w:val="22"/>
          <w:szCs w:val="22"/>
          <w:lang w:eastAsia="en-AU"/>
        </w:rPr>
        <w:t>s could be full voting members.</w:t>
      </w:r>
    </w:p>
    <w:p w:rsidR="00A614E7" w:rsidRDefault="00A614E7" w:rsidP="00306487">
      <w:pPr>
        <w:spacing w:after="0" w:line="240" w:lineRule="auto"/>
        <w:rPr>
          <w:rFonts w:cstheme="minorHAnsi"/>
          <w:i w:val="0"/>
          <w:sz w:val="22"/>
          <w:szCs w:val="22"/>
          <w:lang w:eastAsia="en-AU"/>
        </w:rPr>
      </w:pPr>
      <w:r>
        <w:rPr>
          <w:rFonts w:cstheme="minorHAnsi"/>
          <w:i w:val="0"/>
          <w:sz w:val="22"/>
          <w:szCs w:val="22"/>
          <w:lang w:eastAsia="en-AU"/>
        </w:rPr>
        <w:t>At conciliation the parties agreed to a timetable for the management committee of the club to research options for alternative constitutions that would allow both males and females to be full voting members. The management committee found a number of constitutions in use by other clubs that allowed full membership to both sexes and, after choosing the most suitable, the new constitution was accepted through a vote by the male members. The club now allows both males and fem</w:t>
      </w:r>
      <w:r w:rsidR="009A4581">
        <w:rPr>
          <w:rFonts w:cstheme="minorHAnsi"/>
          <w:i w:val="0"/>
          <w:sz w:val="22"/>
          <w:szCs w:val="22"/>
          <w:lang w:eastAsia="en-AU"/>
        </w:rPr>
        <w:t>ales to be full voting members.</w:t>
      </w:r>
    </w:p>
    <w:p w:rsidR="00A614E7" w:rsidRDefault="00A614E7" w:rsidP="00565444">
      <w:pPr>
        <w:pStyle w:val="Heading3"/>
        <w:rPr>
          <w:b w:val="0"/>
          <w:i/>
          <w:lang w:eastAsia="en-AU"/>
        </w:rPr>
      </w:pPr>
      <w:r w:rsidRPr="00EE1ADC">
        <w:t>Entertainment</w:t>
      </w:r>
      <w:r w:rsidRPr="00EE1ADC">
        <w:rPr>
          <w:lang w:eastAsia="en-AU"/>
        </w:rPr>
        <w:t xml:space="preserve"> venue excluded Asian customers</w:t>
      </w:r>
    </w:p>
    <w:p w:rsidR="00A614E7" w:rsidRDefault="00A614E7" w:rsidP="00306487">
      <w:pPr>
        <w:spacing w:after="240" w:line="240" w:lineRule="auto"/>
        <w:rPr>
          <w:rFonts w:cstheme="minorHAnsi"/>
          <w:b/>
          <w:i w:val="0"/>
          <w:sz w:val="22"/>
          <w:szCs w:val="22"/>
          <w:lang w:eastAsia="en-AU"/>
        </w:rPr>
      </w:pPr>
      <w:r w:rsidRPr="00EE1ADC">
        <w:rPr>
          <w:rFonts w:cstheme="minorHAnsi"/>
          <w:i w:val="0"/>
          <w:sz w:val="22"/>
          <w:szCs w:val="22"/>
          <w:lang w:eastAsia="en-AU"/>
        </w:rPr>
        <w:t>The complainant, with a group of 17 friends, all of South-East Asian descent and appearance, paid entry fees and entered an entertainment venue</w:t>
      </w:r>
      <w:r w:rsidR="009A4581">
        <w:rPr>
          <w:rFonts w:cstheme="minorHAnsi"/>
          <w:b/>
          <w:i w:val="0"/>
          <w:sz w:val="22"/>
          <w:szCs w:val="22"/>
          <w:lang w:eastAsia="en-AU"/>
        </w:rPr>
        <w:t>.</w:t>
      </w:r>
    </w:p>
    <w:p w:rsidR="00A614E7" w:rsidRDefault="00A614E7" w:rsidP="00306487">
      <w:pPr>
        <w:spacing w:after="240" w:line="240" w:lineRule="auto"/>
        <w:rPr>
          <w:rFonts w:cstheme="minorHAnsi"/>
          <w:i w:val="0"/>
          <w:sz w:val="22"/>
          <w:szCs w:val="22"/>
          <w:lang w:eastAsia="en-AU"/>
        </w:rPr>
      </w:pPr>
      <w:r>
        <w:rPr>
          <w:rFonts w:cstheme="minorHAnsi"/>
          <w:i w:val="0"/>
          <w:sz w:val="22"/>
          <w:szCs w:val="22"/>
          <w:lang w:eastAsia="en-AU"/>
        </w:rPr>
        <w:t xml:space="preserve">After the complainant had bought a drink, the security staff approached him and instructed him to leave. When he asked why, the guard replied, ‘there was an incident with some folks last week and the owner doesn’t want to deal with you today’. When he responded that he and his friends could not have been involved with the previous week’s incident, the guard said, ‘he (the owner) doesn’t care; he doesn’t want to deal with you folks today. The owner said </w:t>
      </w:r>
      <w:proofErr w:type="gramStart"/>
      <w:r>
        <w:rPr>
          <w:rFonts w:cstheme="minorHAnsi"/>
          <w:i w:val="0"/>
          <w:sz w:val="22"/>
          <w:szCs w:val="22"/>
          <w:lang w:eastAsia="en-AU"/>
        </w:rPr>
        <w:t>there’s</w:t>
      </w:r>
      <w:proofErr w:type="gramEnd"/>
      <w:r>
        <w:rPr>
          <w:rFonts w:cstheme="minorHAnsi"/>
          <w:i w:val="0"/>
          <w:sz w:val="22"/>
          <w:szCs w:val="22"/>
          <w:lang w:eastAsia="en-AU"/>
        </w:rPr>
        <w:t xml:space="preserve"> too many Orientals here for his liking. I’m just doing my job and listening to the boss.’ A minimum of 30 to 40 Asian people </w:t>
      </w:r>
      <w:r w:rsidR="009A4581">
        <w:rPr>
          <w:rFonts w:cstheme="minorHAnsi"/>
          <w:i w:val="0"/>
          <w:sz w:val="22"/>
          <w:szCs w:val="22"/>
          <w:lang w:eastAsia="en-AU"/>
        </w:rPr>
        <w:t>were forced to leave the venue.</w:t>
      </w:r>
    </w:p>
    <w:p w:rsidR="00A614E7" w:rsidRDefault="00A614E7" w:rsidP="00306487">
      <w:pPr>
        <w:spacing w:after="240" w:line="240" w:lineRule="auto"/>
        <w:rPr>
          <w:rFonts w:cstheme="minorHAnsi"/>
          <w:i w:val="0"/>
          <w:sz w:val="22"/>
          <w:szCs w:val="22"/>
          <w:lang w:eastAsia="en-AU"/>
        </w:rPr>
      </w:pPr>
      <w:r>
        <w:rPr>
          <w:rFonts w:cstheme="minorHAnsi"/>
          <w:i w:val="0"/>
          <w:sz w:val="22"/>
          <w:szCs w:val="22"/>
          <w:lang w:eastAsia="en-AU"/>
        </w:rPr>
        <w:t>At the conciliation conference, the owner who had given the directions for the complainant and others to leave explained that the reason for their removal was because he thought they were associated with some people of South-East Asian appearance he had found s</w:t>
      </w:r>
      <w:r w:rsidR="009A4581">
        <w:rPr>
          <w:rFonts w:cstheme="minorHAnsi"/>
          <w:i w:val="0"/>
          <w:sz w:val="22"/>
          <w:szCs w:val="22"/>
          <w:lang w:eastAsia="en-AU"/>
        </w:rPr>
        <w:t>norting cocaine in the toilets.</w:t>
      </w:r>
    </w:p>
    <w:p w:rsidR="00A614E7" w:rsidRDefault="00A614E7" w:rsidP="00306487">
      <w:pPr>
        <w:spacing w:after="240" w:line="240" w:lineRule="auto"/>
        <w:rPr>
          <w:rFonts w:cstheme="minorHAnsi"/>
          <w:i w:val="0"/>
          <w:sz w:val="22"/>
          <w:szCs w:val="22"/>
          <w:lang w:eastAsia="en-AU"/>
        </w:rPr>
      </w:pPr>
      <w:r>
        <w:rPr>
          <w:rFonts w:cstheme="minorHAnsi"/>
          <w:i w:val="0"/>
          <w:sz w:val="22"/>
          <w:szCs w:val="22"/>
          <w:lang w:eastAsia="en-AU"/>
        </w:rPr>
        <w:t>The owner apologised for the misunderstanding, agreed to implement an anti-discrimination policy for the venue, agreed to anti-discrimination training for staff, and repaid the complainant his entry fee plus his taxi fare. The complainant did not want financial compensation for his experience, but wanted to ensure that the venue personnel were aware that the conduct was unlawful.</w:t>
      </w:r>
    </w:p>
    <w:p w:rsidR="00EE1ADC" w:rsidRDefault="00EE1ADC" w:rsidP="00306487">
      <w:pPr>
        <w:spacing w:after="0" w:line="240" w:lineRule="auto"/>
        <w:rPr>
          <w:rFonts w:cstheme="minorHAnsi"/>
          <w:i w:val="0"/>
          <w:sz w:val="22"/>
          <w:szCs w:val="22"/>
          <w:lang w:eastAsia="en-AU"/>
        </w:rPr>
      </w:pPr>
      <w:r>
        <w:rPr>
          <w:rFonts w:cstheme="minorHAnsi"/>
          <w:i w:val="0"/>
          <w:sz w:val="22"/>
          <w:szCs w:val="22"/>
          <w:lang w:eastAsia="en-AU"/>
        </w:rPr>
        <w:t>The venue owner offered to pay a nominal amount to the complainant or a larger sum as a donation to a charity of the complainant’s choice. The complainant accepted the charity donation.</w:t>
      </w:r>
    </w:p>
    <w:p w:rsidR="00EE1ADC" w:rsidRPr="00C00FBD" w:rsidRDefault="00EE1ADC" w:rsidP="00565444">
      <w:pPr>
        <w:pStyle w:val="Heading3"/>
        <w:rPr>
          <w:b w:val="0"/>
          <w:i/>
          <w:lang w:eastAsia="en-AU"/>
        </w:rPr>
      </w:pPr>
      <w:r w:rsidRPr="00C00FBD">
        <w:rPr>
          <w:lang w:eastAsia="en-AU"/>
        </w:rPr>
        <w:t xml:space="preserve">Older </w:t>
      </w:r>
      <w:r w:rsidRPr="00C00FBD">
        <w:t>volunteer</w:t>
      </w:r>
    </w:p>
    <w:p w:rsidR="00F02B6B" w:rsidRDefault="00F02B6B" w:rsidP="00306487">
      <w:pPr>
        <w:spacing w:after="240" w:line="240" w:lineRule="auto"/>
        <w:rPr>
          <w:i w:val="0"/>
          <w:sz w:val="22"/>
        </w:rPr>
      </w:pPr>
      <w:r w:rsidRPr="00EE1ADC">
        <w:rPr>
          <w:i w:val="0"/>
          <w:sz w:val="22"/>
        </w:rPr>
        <w:t xml:space="preserve">When a volunteer at a charity turned 80 years of age he was told he could no longer work at the organisation because its workplace insurance only covered staff and volunteers up to the age of </w:t>
      </w:r>
      <w:r w:rsidRPr="00EE1ADC">
        <w:rPr>
          <w:i w:val="0"/>
          <w:sz w:val="22"/>
        </w:rPr>
        <w:lastRenderedPageBreak/>
        <w:t>80. He complained to the Commission so as to engage the Commission's conciliation process to negotiate with the charity.</w:t>
      </w:r>
    </w:p>
    <w:p w:rsidR="00EE1ADC" w:rsidRDefault="00EE1ADC" w:rsidP="00306487">
      <w:pPr>
        <w:spacing w:after="0" w:line="240" w:lineRule="auto"/>
        <w:rPr>
          <w:i w:val="0"/>
          <w:sz w:val="22"/>
        </w:rPr>
      </w:pPr>
      <w:r>
        <w:rPr>
          <w:i w:val="0"/>
          <w:sz w:val="22"/>
        </w:rPr>
        <w:t>During the conciliation process the parties acknowledged the need to balance the risks and financial resources fo</w:t>
      </w:r>
      <w:r w:rsidR="00E43EEE">
        <w:rPr>
          <w:i w:val="0"/>
          <w:sz w:val="22"/>
        </w:rPr>
        <w:t>r</w:t>
      </w:r>
      <w:r>
        <w:rPr>
          <w:i w:val="0"/>
          <w:sz w:val="22"/>
        </w:rPr>
        <w:t xml:space="preserve"> the not-for-profit organisation with the benefits of highly valued volunteers performing meaningful work in the community. The charity contacted its insurer and was able to extend the workplace insurance to cover all of its volunteers until the age of 85. This change to the policy resolved the complaint and the man was able to immediately return to volunteer work with the organisat</w:t>
      </w:r>
      <w:r w:rsidR="009A4581">
        <w:rPr>
          <w:i w:val="0"/>
          <w:sz w:val="22"/>
        </w:rPr>
        <w:t>ion.</w:t>
      </w:r>
    </w:p>
    <w:p w:rsidR="0030686C" w:rsidRPr="002F3BB0" w:rsidRDefault="00AF627B" w:rsidP="00565444">
      <w:pPr>
        <w:pStyle w:val="Heading2"/>
        <w:rPr>
          <w:i/>
          <w:lang w:eastAsia="en-AU"/>
        </w:rPr>
      </w:pPr>
      <w:r w:rsidRPr="002F3BB0">
        <w:rPr>
          <w:lang w:eastAsia="en-AU"/>
        </w:rPr>
        <w:t>Evaluation</w:t>
      </w:r>
    </w:p>
    <w:p w:rsidR="0048759D" w:rsidRPr="002F3BB0" w:rsidRDefault="0048759D" w:rsidP="00F20FE3">
      <w:pPr>
        <w:spacing w:after="120" w:line="240" w:lineRule="auto"/>
        <w:rPr>
          <w:rFonts w:cstheme="minorHAnsi"/>
          <w:i w:val="0"/>
          <w:sz w:val="22"/>
          <w:szCs w:val="22"/>
          <w:lang w:eastAsia="en-AU"/>
        </w:rPr>
      </w:pPr>
      <w:r w:rsidRPr="002F3BB0">
        <w:rPr>
          <w:rFonts w:cstheme="minorHAnsi"/>
          <w:i w:val="0"/>
          <w:sz w:val="22"/>
          <w:szCs w:val="22"/>
          <w:lang w:eastAsia="en-AU"/>
        </w:rPr>
        <w:t>Following each conciliation conference, complaint parties are asked to evaluate the ADCQ complaint process based on a variety of factors including:</w:t>
      </w:r>
    </w:p>
    <w:p w:rsidR="0048759D" w:rsidRPr="003D4E62" w:rsidRDefault="00013D9C" w:rsidP="003E32BB">
      <w:pPr>
        <w:numPr>
          <w:ilvl w:val="0"/>
          <w:numId w:val="13"/>
        </w:numPr>
        <w:spacing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o</w:t>
      </w:r>
      <w:r w:rsidR="0048759D" w:rsidRPr="003D4E62">
        <w:rPr>
          <w:rFonts w:eastAsia="Times New Roman" w:cstheme="minorHAnsi"/>
          <w:i w:val="0"/>
          <w:sz w:val="22"/>
          <w:szCs w:val="22"/>
          <w:lang w:eastAsia="en-AU"/>
        </w:rPr>
        <w:t>utcome of the complaint</w:t>
      </w:r>
      <w:r w:rsidRPr="003D4E62">
        <w:rPr>
          <w:rFonts w:eastAsia="Times New Roman" w:cstheme="minorHAnsi"/>
          <w:i w:val="0"/>
          <w:sz w:val="22"/>
          <w:szCs w:val="22"/>
          <w:lang w:eastAsia="en-AU"/>
        </w:rPr>
        <w:t>;</w:t>
      </w:r>
    </w:p>
    <w:p w:rsidR="0048759D" w:rsidRPr="003D4E62" w:rsidRDefault="00013D9C" w:rsidP="003E32BB">
      <w:pPr>
        <w:numPr>
          <w:ilvl w:val="0"/>
          <w:numId w:val="13"/>
        </w:numPr>
        <w:spacing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f</w:t>
      </w:r>
      <w:r w:rsidR="0048759D" w:rsidRPr="003D4E62">
        <w:rPr>
          <w:rFonts w:eastAsia="Times New Roman" w:cstheme="minorHAnsi"/>
          <w:i w:val="0"/>
          <w:sz w:val="22"/>
          <w:szCs w:val="22"/>
          <w:lang w:eastAsia="en-AU"/>
        </w:rPr>
        <w:t>airness of the process</w:t>
      </w:r>
      <w:r w:rsidRPr="003D4E62">
        <w:rPr>
          <w:rFonts w:eastAsia="Times New Roman" w:cstheme="minorHAnsi"/>
          <w:i w:val="0"/>
          <w:sz w:val="22"/>
          <w:szCs w:val="22"/>
          <w:lang w:eastAsia="en-AU"/>
        </w:rPr>
        <w:t>;</w:t>
      </w:r>
    </w:p>
    <w:p w:rsidR="0048759D" w:rsidRPr="003D4E62" w:rsidRDefault="00013D9C" w:rsidP="003E32BB">
      <w:pPr>
        <w:numPr>
          <w:ilvl w:val="0"/>
          <w:numId w:val="13"/>
        </w:numPr>
        <w:spacing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c</w:t>
      </w:r>
      <w:r w:rsidR="0048759D" w:rsidRPr="003D4E62">
        <w:rPr>
          <w:rFonts w:eastAsia="Times New Roman" w:cstheme="minorHAnsi"/>
          <w:i w:val="0"/>
          <w:sz w:val="22"/>
          <w:szCs w:val="22"/>
          <w:lang w:eastAsia="en-AU"/>
        </w:rPr>
        <w:t>larity of letters and brochures provided</w:t>
      </w:r>
      <w:r w:rsidRPr="003D4E62">
        <w:rPr>
          <w:rFonts w:eastAsia="Times New Roman" w:cstheme="minorHAnsi"/>
          <w:i w:val="0"/>
          <w:sz w:val="22"/>
          <w:szCs w:val="22"/>
          <w:lang w:eastAsia="en-AU"/>
        </w:rPr>
        <w:t>;</w:t>
      </w:r>
    </w:p>
    <w:p w:rsidR="0048759D" w:rsidRPr="003D4E62" w:rsidRDefault="00013D9C" w:rsidP="003E32BB">
      <w:pPr>
        <w:numPr>
          <w:ilvl w:val="0"/>
          <w:numId w:val="13"/>
        </w:numPr>
        <w:spacing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r</w:t>
      </w:r>
      <w:r w:rsidR="0048759D" w:rsidRPr="003D4E62">
        <w:rPr>
          <w:rFonts w:eastAsia="Times New Roman" w:cstheme="minorHAnsi"/>
          <w:i w:val="0"/>
          <w:sz w:val="22"/>
          <w:szCs w:val="22"/>
          <w:lang w:eastAsia="en-AU"/>
        </w:rPr>
        <w:t>eliability of information provided</w:t>
      </w:r>
      <w:r w:rsidRPr="003D4E62">
        <w:rPr>
          <w:rFonts w:eastAsia="Times New Roman" w:cstheme="minorHAnsi"/>
          <w:i w:val="0"/>
          <w:sz w:val="22"/>
          <w:szCs w:val="22"/>
          <w:lang w:eastAsia="en-AU"/>
        </w:rPr>
        <w:t>;</w:t>
      </w:r>
    </w:p>
    <w:p w:rsidR="0048759D" w:rsidRPr="003D4E62" w:rsidRDefault="00013D9C" w:rsidP="003E32BB">
      <w:pPr>
        <w:numPr>
          <w:ilvl w:val="0"/>
          <w:numId w:val="13"/>
        </w:numPr>
        <w:spacing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t</w:t>
      </w:r>
      <w:r w:rsidR="0048759D" w:rsidRPr="003D4E62">
        <w:rPr>
          <w:rFonts w:eastAsia="Times New Roman" w:cstheme="minorHAnsi"/>
          <w:i w:val="0"/>
          <w:sz w:val="22"/>
          <w:szCs w:val="22"/>
          <w:lang w:eastAsia="en-AU"/>
        </w:rPr>
        <w:t>imeliness of the process</w:t>
      </w:r>
      <w:r w:rsidRPr="003D4E62">
        <w:rPr>
          <w:rFonts w:eastAsia="Times New Roman" w:cstheme="minorHAnsi"/>
          <w:i w:val="0"/>
          <w:sz w:val="22"/>
          <w:szCs w:val="22"/>
          <w:lang w:eastAsia="en-AU"/>
        </w:rPr>
        <w:t>;</w:t>
      </w:r>
    </w:p>
    <w:p w:rsidR="0048759D" w:rsidRPr="003D4E62" w:rsidRDefault="00013D9C" w:rsidP="003E32BB">
      <w:pPr>
        <w:numPr>
          <w:ilvl w:val="0"/>
          <w:numId w:val="13"/>
        </w:numPr>
        <w:spacing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c</w:t>
      </w:r>
      <w:r w:rsidR="0048759D" w:rsidRPr="003D4E62">
        <w:rPr>
          <w:rFonts w:eastAsia="Times New Roman" w:cstheme="minorHAnsi"/>
          <w:i w:val="0"/>
          <w:sz w:val="22"/>
          <w:szCs w:val="22"/>
          <w:lang w:eastAsia="en-AU"/>
        </w:rPr>
        <w:t>onciliator’s skills</w:t>
      </w:r>
      <w:r w:rsidRPr="003D4E62">
        <w:rPr>
          <w:rFonts w:eastAsia="Times New Roman" w:cstheme="minorHAnsi"/>
          <w:i w:val="0"/>
          <w:sz w:val="22"/>
          <w:szCs w:val="22"/>
          <w:lang w:eastAsia="en-AU"/>
        </w:rPr>
        <w:t>; and</w:t>
      </w:r>
    </w:p>
    <w:p w:rsidR="0048759D" w:rsidRPr="003D4E62" w:rsidRDefault="00013D9C" w:rsidP="003E32BB">
      <w:pPr>
        <w:numPr>
          <w:ilvl w:val="0"/>
          <w:numId w:val="13"/>
        </w:numPr>
        <w:spacing w:after="0" w:line="240" w:lineRule="auto"/>
        <w:ind w:left="357" w:right="-284" w:hanging="357"/>
        <w:rPr>
          <w:rFonts w:eastAsia="Times New Roman" w:cstheme="minorHAnsi"/>
          <w:i w:val="0"/>
          <w:sz w:val="22"/>
          <w:szCs w:val="22"/>
          <w:lang w:eastAsia="en-AU"/>
        </w:rPr>
      </w:pPr>
      <w:proofErr w:type="gramStart"/>
      <w:r w:rsidRPr="003D4E62">
        <w:rPr>
          <w:rFonts w:eastAsia="Times New Roman" w:cstheme="minorHAnsi"/>
          <w:i w:val="0"/>
          <w:sz w:val="22"/>
          <w:szCs w:val="22"/>
          <w:lang w:eastAsia="en-AU"/>
        </w:rPr>
        <w:t>i</w:t>
      </w:r>
      <w:r w:rsidR="0048759D" w:rsidRPr="003D4E62">
        <w:rPr>
          <w:rFonts w:eastAsia="Times New Roman" w:cstheme="minorHAnsi"/>
          <w:i w:val="0"/>
          <w:sz w:val="22"/>
          <w:szCs w:val="22"/>
          <w:lang w:eastAsia="en-AU"/>
        </w:rPr>
        <w:t>mpact</w:t>
      </w:r>
      <w:proofErr w:type="gramEnd"/>
      <w:r w:rsidR="0048759D" w:rsidRPr="003D4E62">
        <w:rPr>
          <w:rFonts w:eastAsia="Times New Roman" w:cstheme="minorHAnsi"/>
          <w:i w:val="0"/>
          <w:sz w:val="22"/>
          <w:szCs w:val="22"/>
          <w:lang w:eastAsia="en-AU"/>
        </w:rPr>
        <w:t xml:space="preserve"> of the process on understanding of rights and responsibilities</w:t>
      </w:r>
      <w:r w:rsidR="009A4581" w:rsidRPr="003D4E62">
        <w:rPr>
          <w:rFonts w:eastAsia="Times New Roman" w:cstheme="minorHAnsi"/>
          <w:i w:val="0"/>
          <w:sz w:val="22"/>
          <w:szCs w:val="22"/>
          <w:lang w:eastAsia="en-AU"/>
        </w:rPr>
        <w:t xml:space="preserve"> under anti-discrimination law.</w:t>
      </w:r>
    </w:p>
    <w:p w:rsidR="0048759D" w:rsidRPr="002F3BB0" w:rsidRDefault="0048759D" w:rsidP="003D4E62">
      <w:pPr>
        <w:spacing w:before="240" w:after="120" w:line="240" w:lineRule="auto"/>
        <w:rPr>
          <w:rFonts w:cstheme="minorHAnsi"/>
          <w:b/>
          <w:i w:val="0"/>
          <w:sz w:val="22"/>
          <w:szCs w:val="22"/>
          <w:lang w:eastAsia="en-AU"/>
        </w:rPr>
      </w:pPr>
      <w:r w:rsidRPr="002F3BB0">
        <w:rPr>
          <w:rFonts w:cstheme="minorHAnsi"/>
          <w:i w:val="0"/>
          <w:sz w:val="22"/>
          <w:szCs w:val="22"/>
        </w:rPr>
        <w:t>A sample of responses from 2013-14 conciliation parties follows:</w:t>
      </w:r>
    </w:p>
    <w:p w:rsidR="00101719" w:rsidRPr="003D4E62" w:rsidRDefault="00101719" w:rsidP="003E32BB">
      <w:pPr>
        <w:numPr>
          <w:ilvl w:val="0"/>
          <w:numId w:val="13"/>
        </w:numPr>
        <w:spacing w:before="60"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We were so happy with the way (the conciliator) handled our complaint. Very informative and empathetic. During the actual mediation she kept us focused and steered us through the discussions to reach a satisfactory outcome. She made a nerve racking experience much less so because of her clear direction and through this we were able to have the best outcome that we could hope to reasonably have.  (Complainant)</w:t>
      </w:r>
    </w:p>
    <w:p w:rsidR="00101719" w:rsidRPr="003D4E62" w:rsidRDefault="00101719" w:rsidP="003E32BB">
      <w:pPr>
        <w:numPr>
          <w:ilvl w:val="0"/>
          <w:numId w:val="13"/>
        </w:numPr>
        <w:spacing w:before="60"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(The conciliator) acted professionally at all times. He not only sought to help parties resolve the matter but ensured the integrity of the process and those involved was kept at all times. (Respondent)</w:t>
      </w:r>
    </w:p>
    <w:p w:rsidR="00101719" w:rsidRPr="003D4E62" w:rsidRDefault="00101719" w:rsidP="003E32BB">
      <w:pPr>
        <w:numPr>
          <w:ilvl w:val="0"/>
          <w:numId w:val="13"/>
        </w:numPr>
        <w:spacing w:before="60"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I would like to mention the exceptional and professional outcome for my process while having the conciliator helping to conciliate between the parties. Thank you so much. (Complainant)</w:t>
      </w:r>
    </w:p>
    <w:p w:rsidR="00101719" w:rsidRPr="003D4E62" w:rsidRDefault="00101719" w:rsidP="003E32BB">
      <w:pPr>
        <w:numPr>
          <w:ilvl w:val="0"/>
          <w:numId w:val="13"/>
        </w:numPr>
        <w:spacing w:before="60"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The conciliator as always is a professional empathetic conciliator. Makes my job as an advocate easier. Highly recommended. (Complainant’s Advocate)</w:t>
      </w:r>
    </w:p>
    <w:p w:rsidR="00101719" w:rsidRPr="003D4E62" w:rsidRDefault="00101719" w:rsidP="003E32BB">
      <w:pPr>
        <w:numPr>
          <w:ilvl w:val="0"/>
          <w:numId w:val="13"/>
        </w:numPr>
        <w:spacing w:before="60"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The conciliator was very proactive – able to resolve issues in a very quick time. (Respondent)</w:t>
      </w:r>
    </w:p>
    <w:p w:rsidR="00101719" w:rsidRPr="003D4E62" w:rsidRDefault="00101719" w:rsidP="003E32BB">
      <w:pPr>
        <w:numPr>
          <w:ilvl w:val="0"/>
          <w:numId w:val="13"/>
        </w:numPr>
        <w:spacing w:before="60"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We found (the person) who acted as our conciliator to be excellent at her job, making sure I felt comfortable and well informed at all times. (Complainant)</w:t>
      </w:r>
    </w:p>
    <w:p w:rsidR="00101719" w:rsidRPr="003D4E62" w:rsidRDefault="00101719" w:rsidP="003E32BB">
      <w:pPr>
        <w:numPr>
          <w:ilvl w:val="0"/>
          <w:numId w:val="13"/>
        </w:numPr>
        <w:spacing w:before="60"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Although the legislation has been in place for over 20 years, we are happy with the outcome: Respondents now complying with it. However we are disappointed that the respondent, being a large corporation, did not so much as offer any monetary compensation. (Complainant)</w:t>
      </w:r>
    </w:p>
    <w:p w:rsidR="00101719" w:rsidRPr="003D4E62" w:rsidRDefault="00101719" w:rsidP="003E32BB">
      <w:pPr>
        <w:numPr>
          <w:ilvl w:val="0"/>
          <w:numId w:val="13"/>
        </w:numPr>
        <w:spacing w:before="60"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The conciliator was extremely helpful and understanding in relation to how I felt and understanding of the state of my health due to the complaint. (The conciliator) was able to help me bring this matter to an end that was satisfactory to allow me to move on with my life and I can’t thank her enough. (Complainant)</w:t>
      </w:r>
    </w:p>
    <w:p w:rsidR="00101719" w:rsidRPr="003D4E62" w:rsidRDefault="00101719" w:rsidP="003E32BB">
      <w:pPr>
        <w:numPr>
          <w:ilvl w:val="0"/>
          <w:numId w:val="13"/>
        </w:numPr>
        <w:spacing w:before="60"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I really appreciated the conciliator’s fairness and unbiased advice throughout the process. (Respondent’s advocate)</w:t>
      </w:r>
    </w:p>
    <w:p w:rsidR="00101719" w:rsidRPr="003D4E62" w:rsidRDefault="00101719" w:rsidP="003E32BB">
      <w:pPr>
        <w:numPr>
          <w:ilvl w:val="0"/>
          <w:numId w:val="13"/>
        </w:numPr>
        <w:spacing w:before="60" w:after="0" w:line="240" w:lineRule="auto"/>
        <w:ind w:left="357" w:hanging="357"/>
        <w:rPr>
          <w:rFonts w:eastAsia="Times New Roman" w:cstheme="minorHAnsi"/>
          <w:i w:val="0"/>
          <w:sz w:val="22"/>
          <w:szCs w:val="22"/>
          <w:lang w:eastAsia="en-AU"/>
        </w:rPr>
      </w:pPr>
      <w:r w:rsidRPr="003D4E62">
        <w:rPr>
          <w:rFonts w:eastAsia="Times New Roman" w:cstheme="minorHAnsi"/>
          <w:i w:val="0"/>
          <w:sz w:val="22"/>
          <w:szCs w:val="22"/>
          <w:lang w:eastAsia="en-AU"/>
        </w:rPr>
        <w:t>The ADCQ and the conciliator were very co-operative and provided meaningful advice. (Respondent)</w:t>
      </w:r>
    </w:p>
    <w:p w:rsidR="00101719" w:rsidRPr="003D4E62" w:rsidRDefault="00101719" w:rsidP="003E32BB">
      <w:pPr>
        <w:numPr>
          <w:ilvl w:val="0"/>
          <w:numId w:val="13"/>
        </w:numPr>
        <w:spacing w:before="60" w:after="0" w:line="240" w:lineRule="auto"/>
        <w:ind w:left="357" w:hanging="357"/>
        <w:rPr>
          <w:rFonts w:eastAsia="Times New Roman" w:cstheme="minorHAnsi"/>
          <w:i w:val="0"/>
          <w:sz w:val="22"/>
          <w:szCs w:val="22"/>
          <w:lang w:eastAsia="en-AU"/>
        </w:rPr>
      </w:pPr>
      <w:r w:rsidRPr="002F3BB0">
        <w:rPr>
          <w:i w:val="0"/>
          <w:sz w:val="22"/>
          <w:szCs w:val="22"/>
        </w:rPr>
        <w:t xml:space="preserve">(The </w:t>
      </w:r>
      <w:r w:rsidRPr="003D4E62">
        <w:rPr>
          <w:rFonts w:eastAsia="Times New Roman" w:cstheme="minorHAnsi"/>
          <w:i w:val="0"/>
          <w:sz w:val="22"/>
          <w:szCs w:val="22"/>
          <w:lang w:eastAsia="en-AU"/>
        </w:rPr>
        <w:t>conciliator) was wonderful! He helped by explaining the process. He was patient with a sympathetic ear without ever taking sides. I felt totally “safe” with him. Wonderful conciliator. (Complainant)</w:t>
      </w:r>
    </w:p>
    <w:p w:rsidR="00101719" w:rsidRPr="002F3BB0" w:rsidRDefault="00101719" w:rsidP="003E32BB">
      <w:pPr>
        <w:numPr>
          <w:ilvl w:val="0"/>
          <w:numId w:val="13"/>
        </w:numPr>
        <w:spacing w:before="60" w:after="0" w:line="240" w:lineRule="auto"/>
        <w:ind w:left="357" w:hanging="357"/>
        <w:rPr>
          <w:i w:val="0"/>
          <w:sz w:val="22"/>
          <w:szCs w:val="22"/>
        </w:rPr>
      </w:pPr>
      <w:r w:rsidRPr="003D4E62">
        <w:rPr>
          <w:rFonts w:eastAsia="Times New Roman" w:cstheme="minorHAnsi"/>
          <w:i w:val="0"/>
          <w:sz w:val="22"/>
          <w:szCs w:val="22"/>
          <w:lang w:eastAsia="en-AU"/>
        </w:rPr>
        <w:t xml:space="preserve">I found it to be a calm, professional and </w:t>
      </w:r>
      <w:r w:rsidR="000228C3" w:rsidRPr="003D4E62">
        <w:rPr>
          <w:rFonts w:eastAsia="Times New Roman" w:cstheme="minorHAnsi"/>
          <w:i w:val="0"/>
          <w:sz w:val="22"/>
          <w:szCs w:val="22"/>
          <w:lang w:eastAsia="en-AU"/>
        </w:rPr>
        <w:t>well-structured</w:t>
      </w:r>
      <w:r w:rsidRPr="003D4E62">
        <w:rPr>
          <w:rFonts w:eastAsia="Times New Roman" w:cstheme="minorHAnsi"/>
          <w:i w:val="0"/>
          <w:sz w:val="22"/>
          <w:szCs w:val="22"/>
          <w:lang w:eastAsia="en-AU"/>
        </w:rPr>
        <w:t xml:space="preserve"> process. The conciliator was excellent and her experience and fairness were openly available to both sides. (Respondent</w:t>
      </w:r>
      <w:r w:rsidRPr="002F3BB0">
        <w:rPr>
          <w:i w:val="0"/>
          <w:sz w:val="22"/>
          <w:szCs w:val="22"/>
        </w:rPr>
        <w:t>)</w:t>
      </w:r>
    </w:p>
    <w:p w:rsidR="0030686C" w:rsidRPr="002F3BB0" w:rsidRDefault="0030686C" w:rsidP="0030686C">
      <w:pPr>
        <w:pStyle w:val="Heading1"/>
        <w:pageBreakBefore/>
        <w:rPr>
          <w:rFonts w:asciiTheme="minorHAnsi" w:eastAsia="Times New Roman" w:hAnsiTheme="minorHAnsi" w:cstheme="minorHAnsi"/>
          <w:i w:val="0"/>
          <w:color w:val="auto"/>
          <w:lang w:eastAsia="en-AU"/>
        </w:rPr>
      </w:pPr>
      <w:bookmarkStart w:id="24" w:name="_Toc397345682"/>
      <w:r w:rsidRPr="002F3BB0">
        <w:rPr>
          <w:rFonts w:asciiTheme="minorHAnsi" w:eastAsia="Times New Roman" w:hAnsiTheme="minorHAnsi" w:cstheme="minorHAnsi"/>
          <w:i w:val="0"/>
          <w:color w:val="auto"/>
          <w:lang w:eastAsia="en-AU"/>
        </w:rPr>
        <w:lastRenderedPageBreak/>
        <w:t>Influencing government policy and legislation</w:t>
      </w:r>
      <w:bookmarkEnd w:id="24"/>
    </w:p>
    <w:p w:rsidR="0030686C" w:rsidRPr="002F3BB0" w:rsidRDefault="0030686C" w:rsidP="00194CAE">
      <w:pPr>
        <w:spacing w:before="120" w:after="120" w:line="240" w:lineRule="auto"/>
        <w:rPr>
          <w:rFonts w:cstheme="minorHAnsi"/>
          <w:i w:val="0"/>
          <w:sz w:val="22"/>
          <w:szCs w:val="22"/>
        </w:rPr>
      </w:pPr>
      <w:r w:rsidRPr="002F3BB0">
        <w:rPr>
          <w:rFonts w:cstheme="minorHAnsi"/>
          <w:i w:val="0"/>
          <w:sz w:val="22"/>
          <w:szCs w:val="22"/>
        </w:rPr>
        <w:t xml:space="preserve">The Commission promotes human rights by influencing the development and application of </w:t>
      </w:r>
      <w:r w:rsidR="00013D9C">
        <w:rPr>
          <w:rFonts w:cstheme="minorHAnsi"/>
          <w:i w:val="0"/>
          <w:sz w:val="22"/>
          <w:szCs w:val="22"/>
        </w:rPr>
        <w:t>s</w:t>
      </w:r>
      <w:r w:rsidRPr="002F3BB0">
        <w:rPr>
          <w:rFonts w:cstheme="minorHAnsi"/>
          <w:i w:val="0"/>
          <w:sz w:val="22"/>
          <w:szCs w:val="22"/>
        </w:rPr>
        <w:t xml:space="preserve">tate and </w:t>
      </w:r>
      <w:r w:rsidR="00013D9C">
        <w:rPr>
          <w:rFonts w:cstheme="minorHAnsi"/>
          <w:i w:val="0"/>
          <w:sz w:val="22"/>
          <w:szCs w:val="22"/>
        </w:rPr>
        <w:t>f</w:t>
      </w:r>
      <w:r w:rsidRPr="002F3BB0">
        <w:rPr>
          <w:rFonts w:cstheme="minorHAnsi"/>
          <w:i w:val="0"/>
          <w:sz w:val="22"/>
          <w:szCs w:val="22"/>
        </w:rPr>
        <w:t>ederal legislation, and engaging in government policy processes. The Commission has a statutory obligation to examine new and existing legislation to determine whether they are, or would be, inconsistent with the purposes of the</w:t>
      </w:r>
      <w:r w:rsidRPr="002F3BB0">
        <w:rPr>
          <w:rFonts w:cstheme="minorHAnsi"/>
          <w:sz w:val="22"/>
          <w:szCs w:val="22"/>
        </w:rPr>
        <w:t xml:space="preserve"> Anti-Discrimination Act 1991.</w:t>
      </w:r>
    </w:p>
    <w:p w:rsidR="00B1231D" w:rsidRDefault="00B1231D" w:rsidP="00B1231D">
      <w:pPr>
        <w:pStyle w:val="Heading2"/>
      </w:pPr>
      <w:r>
        <w:t>Submissions</w:t>
      </w:r>
    </w:p>
    <w:p w:rsidR="00194CAE" w:rsidRPr="002F3BB0" w:rsidRDefault="0030686C" w:rsidP="00194CAE">
      <w:pPr>
        <w:spacing w:before="120" w:after="240" w:line="240" w:lineRule="auto"/>
        <w:rPr>
          <w:rFonts w:ascii="Arial" w:hAnsi="Arial" w:cs="Arial"/>
          <w:i w:val="0"/>
          <w:sz w:val="22"/>
        </w:rPr>
      </w:pPr>
      <w:r w:rsidRPr="002F3BB0">
        <w:rPr>
          <w:rFonts w:ascii="Arial" w:hAnsi="Arial" w:cs="Arial"/>
          <w:i w:val="0"/>
          <w:sz w:val="22"/>
        </w:rPr>
        <w:t xml:space="preserve">In 2013-14 the following submissions were made to </w:t>
      </w:r>
      <w:r w:rsidR="00013D9C">
        <w:rPr>
          <w:rFonts w:ascii="Arial" w:hAnsi="Arial" w:cs="Arial"/>
          <w:i w:val="0"/>
          <w:sz w:val="22"/>
        </w:rPr>
        <w:t>s</w:t>
      </w:r>
      <w:r w:rsidRPr="002F3BB0">
        <w:rPr>
          <w:rFonts w:ascii="Arial" w:hAnsi="Arial" w:cs="Arial"/>
          <w:i w:val="0"/>
          <w:sz w:val="22"/>
        </w:rPr>
        <w:t xml:space="preserve">tate and </w:t>
      </w:r>
      <w:r w:rsidR="00013D9C">
        <w:rPr>
          <w:rFonts w:ascii="Arial" w:hAnsi="Arial" w:cs="Arial"/>
          <w:i w:val="0"/>
          <w:sz w:val="22"/>
        </w:rPr>
        <w:t>f</w:t>
      </w:r>
      <w:r w:rsidRPr="002F3BB0">
        <w:rPr>
          <w:rFonts w:ascii="Arial" w:hAnsi="Arial" w:cs="Arial"/>
          <w:i w:val="0"/>
          <w:sz w:val="22"/>
        </w:rPr>
        <w:t>ederal bodies on the development of gover</w:t>
      </w:r>
      <w:r w:rsidR="009A4581">
        <w:rPr>
          <w:rFonts w:ascii="Arial" w:hAnsi="Arial" w:cs="Arial"/>
          <w:i w:val="0"/>
          <w:sz w:val="22"/>
        </w:rPr>
        <w:t>nment policies and legislation:</w:t>
      </w:r>
    </w:p>
    <w:p w:rsidR="0030686C" w:rsidRPr="00194CAE" w:rsidRDefault="00154973" w:rsidP="00194CAE">
      <w:pPr>
        <w:spacing w:before="120" w:after="240" w:line="240" w:lineRule="auto"/>
        <w:rPr>
          <w:rFonts w:cstheme="minorHAnsi"/>
          <w:b/>
          <w:i w:val="0"/>
          <w:sz w:val="22"/>
          <w:szCs w:val="22"/>
        </w:rPr>
      </w:pPr>
      <w:r w:rsidRPr="00194CAE">
        <w:rPr>
          <w:rFonts w:cstheme="minorHAnsi"/>
          <w:b/>
          <w:i w:val="0"/>
          <w:sz w:val="22"/>
          <w:szCs w:val="22"/>
        </w:rPr>
        <w:t>T</w:t>
      </w:r>
      <w:r w:rsidR="0030686C" w:rsidRPr="00194CAE">
        <w:rPr>
          <w:rFonts w:cstheme="minorHAnsi"/>
          <w:b/>
          <w:i w:val="0"/>
          <w:sz w:val="22"/>
          <w:szCs w:val="22"/>
        </w:rPr>
        <w:t xml:space="preserve">he Transport, Housing and Local Government Committee (Qld) on its inquiry into the </w:t>
      </w:r>
      <w:r w:rsidR="0030686C" w:rsidRPr="00194CAE">
        <w:rPr>
          <w:rFonts w:cstheme="minorHAnsi"/>
          <w:b/>
          <w:sz w:val="22"/>
          <w:szCs w:val="22"/>
        </w:rPr>
        <w:t>Residential and Rooming Accommodation and Other Legislation Amendment Bill 2013</w:t>
      </w:r>
    </w:p>
    <w:p w:rsidR="00154973" w:rsidRPr="002F3BB0" w:rsidRDefault="00154973" w:rsidP="00111CFF">
      <w:pPr>
        <w:spacing w:before="120" w:after="120" w:line="240" w:lineRule="auto"/>
        <w:rPr>
          <w:rFonts w:ascii="Arial" w:hAnsi="Arial" w:cs="Arial"/>
          <w:i w:val="0"/>
          <w:sz w:val="22"/>
        </w:rPr>
      </w:pPr>
      <w:r w:rsidRPr="002F3BB0">
        <w:rPr>
          <w:rFonts w:ascii="Arial" w:hAnsi="Arial" w:cs="Arial"/>
          <w:i w:val="0"/>
          <w:sz w:val="22"/>
        </w:rPr>
        <w:t>The Commission raised concerns about the residential tenancy amendments in the context of the fundamental rights to adequate housing and the presumption of innocence until proved guilty.  These concerns included potential adverse and unfair impact of measures to address antisocial behaviour on people residing in community housing who have mental health or intellectual disabilities, who come from cultures where residing with extended family is the norm, and who are children, youth or have other vulnerabilities.</w:t>
      </w:r>
    </w:p>
    <w:p w:rsidR="00154973" w:rsidRDefault="00154973" w:rsidP="00194CAE">
      <w:pPr>
        <w:spacing w:before="240" w:after="240" w:line="240" w:lineRule="auto"/>
        <w:rPr>
          <w:rFonts w:ascii="Arial" w:hAnsi="Arial" w:cs="Arial"/>
          <w:i w:val="0"/>
          <w:sz w:val="22"/>
        </w:rPr>
      </w:pPr>
      <w:r w:rsidRPr="002F3BB0">
        <w:rPr>
          <w:rFonts w:ascii="Arial" w:hAnsi="Arial" w:cs="Arial"/>
          <w:i w:val="0"/>
          <w:sz w:val="22"/>
        </w:rPr>
        <w:t xml:space="preserve">Other amendments in the Bill included making it an offence to refuse accommodation to a person because the person relies on a certified guide, hearing or assistance dog.  This type of refusal of accommodation can found a complaint under the </w:t>
      </w:r>
      <w:r w:rsidRPr="00BD357E">
        <w:rPr>
          <w:rFonts w:ascii="Arial" w:hAnsi="Arial" w:cs="Arial"/>
          <w:sz w:val="22"/>
        </w:rPr>
        <w:t>Anti-Discrimination Act 1991</w:t>
      </w:r>
      <w:r w:rsidRPr="002F3BB0">
        <w:rPr>
          <w:rFonts w:ascii="Arial" w:hAnsi="Arial" w:cs="Arial"/>
          <w:i w:val="0"/>
          <w:sz w:val="22"/>
        </w:rPr>
        <w:t>.  The Commission suggested that creating this offence might assist in raising awareness among accommodation providers and improve protections and access for people who rely on a guide, hearing or assistance dog.</w:t>
      </w:r>
    </w:p>
    <w:p w:rsidR="0030686C" w:rsidRPr="00194CAE" w:rsidRDefault="00154973" w:rsidP="00194CAE">
      <w:pPr>
        <w:spacing w:before="120" w:after="240" w:line="240" w:lineRule="auto"/>
        <w:rPr>
          <w:rFonts w:cstheme="minorHAnsi"/>
          <w:b/>
          <w:sz w:val="22"/>
          <w:szCs w:val="22"/>
        </w:rPr>
      </w:pPr>
      <w:r w:rsidRPr="00194CAE">
        <w:rPr>
          <w:rFonts w:cstheme="minorHAnsi"/>
          <w:b/>
          <w:i w:val="0"/>
          <w:sz w:val="22"/>
          <w:szCs w:val="22"/>
        </w:rPr>
        <w:t>T</w:t>
      </w:r>
      <w:r w:rsidR="0030686C" w:rsidRPr="00194CAE">
        <w:rPr>
          <w:rFonts w:cstheme="minorHAnsi"/>
          <w:b/>
          <w:i w:val="0"/>
          <w:sz w:val="22"/>
          <w:szCs w:val="22"/>
        </w:rPr>
        <w:t xml:space="preserve">he Department of Justice and Attorney-General on the review of the </w:t>
      </w:r>
      <w:r w:rsidR="0030686C" w:rsidRPr="00194CAE">
        <w:rPr>
          <w:rFonts w:cstheme="minorHAnsi"/>
          <w:b/>
          <w:sz w:val="22"/>
          <w:szCs w:val="22"/>
        </w:rPr>
        <w:t xml:space="preserve">Births, Deaths and </w:t>
      </w:r>
      <w:r w:rsidRPr="00194CAE">
        <w:rPr>
          <w:rFonts w:cstheme="minorHAnsi"/>
          <w:b/>
          <w:sz w:val="22"/>
          <w:szCs w:val="22"/>
        </w:rPr>
        <w:t>Marriages Registration Act 2003</w:t>
      </w:r>
    </w:p>
    <w:p w:rsidR="00154973" w:rsidRPr="002F3BB0" w:rsidRDefault="00154973" w:rsidP="00194CAE">
      <w:pPr>
        <w:spacing w:before="120" w:after="240" w:line="240" w:lineRule="auto"/>
        <w:rPr>
          <w:rFonts w:ascii="Arial" w:hAnsi="Arial" w:cs="Arial"/>
          <w:i w:val="0"/>
          <w:sz w:val="22"/>
        </w:rPr>
      </w:pPr>
      <w:r w:rsidRPr="002F3BB0">
        <w:rPr>
          <w:rFonts w:ascii="Arial" w:hAnsi="Arial" w:cs="Arial"/>
          <w:i w:val="0"/>
          <w:sz w:val="22"/>
        </w:rPr>
        <w:t>This was the first stage of the review by the department to inform issues for consideration in a consultation paper.  The Commission suggested the review should examine whether the current provisions adequately meet the community’s requirements for recognising the reassignment of a person’s sex, and whether the Act should include provisions to enable the recognition of the reassignment of a person’s sex for persons who reside in Queensland but were born elsewhere.</w:t>
      </w:r>
    </w:p>
    <w:p w:rsidR="0030686C" w:rsidRPr="00194CAE" w:rsidRDefault="00154973" w:rsidP="00194CAE">
      <w:pPr>
        <w:spacing w:before="120" w:after="240" w:line="240" w:lineRule="auto"/>
        <w:rPr>
          <w:rFonts w:cstheme="minorHAnsi"/>
          <w:b/>
          <w:i w:val="0"/>
          <w:sz w:val="22"/>
          <w:szCs w:val="22"/>
        </w:rPr>
      </w:pPr>
      <w:r w:rsidRPr="00194CAE">
        <w:rPr>
          <w:rFonts w:cstheme="minorHAnsi"/>
          <w:b/>
          <w:i w:val="0"/>
          <w:sz w:val="22"/>
          <w:szCs w:val="22"/>
        </w:rPr>
        <w:t>T</w:t>
      </w:r>
      <w:r w:rsidR="0030686C" w:rsidRPr="00194CAE">
        <w:rPr>
          <w:rFonts w:cstheme="minorHAnsi"/>
          <w:b/>
          <w:i w:val="0"/>
          <w:sz w:val="22"/>
          <w:szCs w:val="22"/>
        </w:rPr>
        <w:t xml:space="preserve">he Department of Justice and Attorney-General on the review of the </w:t>
      </w:r>
      <w:r w:rsidR="0030686C" w:rsidRPr="00194CAE">
        <w:rPr>
          <w:rFonts w:cstheme="minorHAnsi"/>
          <w:b/>
          <w:sz w:val="22"/>
          <w:szCs w:val="22"/>
        </w:rPr>
        <w:t>Manufactured Hom</w:t>
      </w:r>
      <w:r w:rsidRPr="00194CAE">
        <w:rPr>
          <w:rFonts w:cstheme="minorHAnsi"/>
          <w:b/>
          <w:sz w:val="22"/>
          <w:szCs w:val="22"/>
        </w:rPr>
        <w:t>es (Residential Parks) Act 2003</w:t>
      </w:r>
    </w:p>
    <w:p w:rsidR="00154973" w:rsidRDefault="00154973" w:rsidP="00D14A55">
      <w:pPr>
        <w:spacing w:before="120" w:after="240" w:line="240" w:lineRule="auto"/>
        <w:rPr>
          <w:rFonts w:ascii="Arial" w:hAnsi="Arial" w:cs="Arial"/>
          <w:i w:val="0"/>
          <w:sz w:val="22"/>
        </w:rPr>
      </w:pPr>
      <w:r w:rsidRPr="002F3BB0">
        <w:rPr>
          <w:rFonts w:ascii="Arial" w:hAnsi="Arial" w:cs="Arial"/>
          <w:i w:val="0"/>
          <w:sz w:val="22"/>
        </w:rPr>
        <w:t>Noting that housing is a human right recognised in a number of international instruments to which Australia is a party, the Commission encouraged the department to consider the ability of manufactured homes and residential parks to provide affordable and accessible accommodation in the context of housing affordability being a significant factor in the increase in homelessness and in the broader housing policy framework.</w:t>
      </w:r>
    </w:p>
    <w:p w:rsidR="0030686C" w:rsidRPr="00D14A55" w:rsidRDefault="00154973" w:rsidP="00D14A55">
      <w:pPr>
        <w:spacing w:before="120" w:after="240" w:line="240" w:lineRule="auto"/>
        <w:rPr>
          <w:b/>
          <w:i w:val="0"/>
          <w:sz w:val="22"/>
          <w:szCs w:val="22"/>
        </w:rPr>
      </w:pPr>
      <w:r w:rsidRPr="00D14A55">
        <w:rPr>
          <w:rFonts w:cstheme="minorHAnsi"/>
          <w:b/>
          <w:i w:val="0"/>
          <w:sz w:val="22"/>
          <w:szCs w:val="22"/>
        </w:rPr>
        <w:t>T</w:t>
      </w:r>
      <w:r w:rsidR="0030686C" w:rsidRPr="00D14A55">
        <w:rPr>
          <w:rFonts w:cstheme="minorHAnsi"/>
          <w:b/>
          <w:i w:val="0"/>
          <w:sz w:val="22"/>
          <w:szCs w:val="22"/>
        </w:rPr>
        <w:t>he</w:t>
      </w:r>
      <w:r w:rsidR="0030686C" w:rsidRPr="00D14A55">
        <w:rPr>
          <w:b/>
          <w:i w:val="0"/>
          <w:sz w:val="22"/>
          <w:szCs w:val="22"/>
        </w:rPr>
        <w:t xml:space="preserve"> Health and Community Safety Committee (Qld) on its inquiry into the </w:t>
      </w:r>
      <w:r w:rsidR="0030686C" w:rsidRPr="00D14A55">
        <w:rPr>
          <w:b/>
          <w:sz w:val="22"/>
          <w:szCs w:val="22"/>
        </w:rPr>
        <w:t xml:space="preserve">Disability Services (Restrictive Practices) and Other </w:t>
      </w:r>
      <w:r w:rsidRPr="00D14A55">
        <w:rPr>
          <w:b/>
          <w:sz w:val="22"/>
          <w:szCs w:val="22"/>
        </w:rPr>
        <w:t>Legislation Amendment Bill 2013</w:t>
      </w:r>
    </w:p>
    <w:p w:rsidR="00154973" w:rsidRPr="002F3BB0" w:rsidRDefault="00154973" w:rsidP="00D14A55">
      <w:pPr>
        <w:spacing w:before="120" w:after="240" w:line="240" w:lineRule="auto"/>
        <w:rPr>
          <w:rFonts w:ascii="Arial" w:hAnsi="Arial" w:cs="Arial"/>
        </w:rPr>
      </w:pPr>
      <w:r w:rsidRPr="002F3BB0">
        <w:rPr>
          <w:rFonts w:ascii="Arial" w:hAnsi="Arial" w:cs="Arial"/>
          <w:i w:val="0"/>
          <w:sz w:val="22"/>
        </w:rPr>
        <w:t>The Commission supported improvements in the regulatory regime for restrictive practices, such as the emphasis on a positive behaviour support approach for all adults with intellectual or cognitive disability and challenging behaviours, the use of positive behaviour plans to reduce or eliminate the need for restrictive practices, the requirement for procedures to ensure staff has sufficient skills and knowledge to use restrictive practices appropriately, and the requirement to provide an adult and others</w:t>
      </w:r>
      <w:r w:rsidR="006D1906">
        <w:rPr>
          <w:rFonts w:ascii="Arial" w:hAnsi="Arial" w:cs="Arial"/>
          <w:i w:val="0"/>
          <w:sz w:val="22"/>
        </w:rPr>
        <w:t xml:space="preserve"> with</w:t>
      </w:r>
      <w:r w:rsidRPr="002F3BB0">
        <w:rPr>
          <w:rFonts w:ascii="Arial" w:hAnsi="Arial" w:cs="Arial"/>
          <w:i w:val="0"/>
          <w:sz w:val="22"/>
        </w:rPr>
        <w:t xml:space="preserve"> information about the restrictive practices framework.  The Commission recommended adopting system similar to that in Victoria to help ensure service providers implement, monitor and review each client’s positive behaviour plan.  Whilst the </w:t>
      </w:r>
      <w:r w:rsidRPr="002F3BB0">
        <w:rPr>
          <w:rFonts w:ascii="Arial" w:hAnsi="Arial" w:cs="Arial"/>
          <w:i w:val="0"/>
          <w:sz w:val="22"/>
        </w:rPr>
        <w:lastRenderedPageBreak/>
        <w:t>Commission welcomed the inclusion of new reporting provision of information requirements, the Commission suggested there would be a greater level of robustness and transparency if the material was made available to QCAT, the Adult Guardian and the Public Advocate.  The Commission also recommended better resourcing to enable decisions about the use of restrictive practices to be made in a timely way without permitting a period of unsupervised use of restrictive practices, and allowing independent advocates to be involved in the planning and decision-making process for the use of restrictive practices</w:t>
      </w:r>
      <w:r w:rsidRPr="002F3BB0">
        <w:rPr>
          <w:rFonts w:ascii="Arial" w:hAnsi="Arial" w:cs="Arial"/>
        </w:rPr>
        <w:t>.</w:t>
      </w:r>
    </w:p>
    <w:p w:rsidR="0030686C" w:rsidRPr="00D14A55" w:rsidRDefault="00154973" w:rsidP="00D14A55">
      <w:pPr>
        <w:spacing w:before="120" w:after="240" w:line="240" w:lineRule="auto"/>
        <w:rPr>
          <w:b/>
          <w:i w:val="0"/>
          <w:sz w:val="22"/>
          <w:szCs w:val="22"/>
        </w:rPr>
      </w:pPr>
      <w:r w:rsidRPr="00D14A55">
        <w:rPr>
          <w:b/>
          <w:i w:val="0"/>
          <w:sz w:val="22"/>
          <w:szCs w:val="22"/>
        </w:rPr>
        <w:t>T</w:t>
      </w:r>
      <w:r w:rsidR="0030686C" w:rsidRPr="00D14A55">
        <w:rPr>
          <w:b/>
          <w:i w:val="0"/>
          <w:sz w:val="22"/>
          <w:szCs w:val="22"/>
        </w:rPr>
        <w:t>he</w:t>
      </w:r>
      <w:r w:rsidR="0030686C" w:rsidRPr="00D14A55">
        <w:rPr>
          <w:b/>
          <w:sz w:val="22"/>
          <w:szCs w:val="22"/>
        </w:rPr>
        <w:t xml:space="preserve"> Finance and Administration Committee (Qld) on its inquiry into the </w:t>
      </w:r>
      <w:r w:rsidR="0030686C" w:rsidRPr="00D14A55">
        <w:rPr>
          <w:b/>
          <w:i w:val="0"/>
          <w:sz w:val="22"/>
          <w:szCs w:val="22"/>
        </w:rPr>
        <w:t>Public Service and Other Legislation (Civil</w:t>
      </w:r>
      <w:r w:rsidRPr="00D14A55">
        <w:rPr>
          <w:b/>
          <w:i w:val="0"/>
          <w:sz w:val="22"/>
          <w:szCs w:val="22"/>
        </w:rPr>
        <w:t xml:space="preserve"> Liability) Amendment Bill 2013</w:t>
      </w:r>
    </w:p>
    <w:p w:rsidR="00154973" w:rsidRPr="002F3BB0" w:rsidRDefault="00154973" w:rsidP="00D14A55">
      <w:pPr>
        <w:spacing w:before="120" w:after="240" w:line="240" w:lineRule="auto"/>
        <w:rPr>
          <w:rFonts w:ascii="Arial" w:hAnsi="Arial" w:cs="Arial"/>
          <w:i w:val="0"/>
          <w:sz w:val="22"/>
        </w:rPr>
      </w:pPr>
      <w:r w:rsidRPr="002F3BB0">
        <w:rPr>
          <w:rFonts w:ascii="Arial" w:hAnsi="Arial" w:cs="Arial"/>
          <w:i w:val="0"/>
          <w:sz w:val="22"/>
        </w:rPr>
        <w:t>The Commission outlined the impact of procedures for State employees to obtain legal assistance or indemnity on its complaint handling processes, noting that approximately 20% of its accepted complaints involve the State of Queensland.  The Commission supported the transfer to the State of the liability of public and police service employees for payment of damages and suggested it</w:t>
      </w:r>
      <w:r w:rsidR="006D1906">
        <w:rPr>
          <w:rFonts w:ascii="Arial" w:hAnsi="Arial" w:cs="Arial"/>
          <w:i w:val="0"/>
          <w:sz w:val="22"/>
        </w:rPr>
        <w:t xml:space="preserve"> may have a beneficial impact o</w:t>
      </w:r>
      <w:r w:rsidRPr="002F3BB0">
        <w:rPr>
          <w:rFonts w:ascii="Arial" w:hAnsi="Arial" w:cs="Arial"/>
          <w:i w:val="0"/>
          <w:sz w:val="22"/>
        </w:rPr>
        <w:t>n the timeliness in the complaint handling process.  As the outcomes of conciliation are not confined to the payment of money, complaints will continue to be pursued against individual public and police service employees as well as their employers.</w:t>
      </w:r>
    </w:p>
    <w:p w:rsidR="0030686C" w:rsidRPr="00D14A55" w:rsidRDefault="00154973" w:rsidP="00D14A55">
      <w:pPr>
        <w:spacing w:before="120" w:after="240" w:line="240" w:lineRule="auto"/>
        <w:rPr>
          <w:b/>
          <w:sz w:val="22"/>
          <w:szCs w:val="22"/>
        </w:rPr>
      </w:pPr>
      <w:r w:rsidRPr="00D14A55">
        <w:rPr>
          <w:b/>
          <w:i w:val="0"/>
          <w:sz w:val="22"/>
          <w:szCs w:val="22"/>
        </w:rPr>
        <w:t>T</w:t>
      </w:r>
      <w:r w:rsidR="0030686C" w:rsidRPr="00D14A55">
        <w:rPr>
          <w:b/>
          <w:i w:val="0"/>
          <w:sz w:val="22"/>
          <w:szCs w:val="22"/>
        </w:rPr>
        <w:t xml:space="preserve">he Legal Affairs and Community Safety Committee (Qld) on its inquiry into the </w:t>
      </w:r>
      <w:r w:rsidR="0030686C" w:rsidRPr="00D14A55">
        <w:rPr>
          <w:b/>
          <w:sz w:val="22"/>
          <w:szCs w:val="22"/>
        </w:rPr>
        <w:t>Elect</w:t>
      </w:r>
      <w:r w:rsidRPr="00D14A55">
        <w:rPr>
          <w:b/>
          <w:sz w:val="22"/>
          <w:szCs w:val="22"/>
        </w:rPr>
        <w:t>oral Reform Amendment Bill 2013</w:t>
      </w:r>
    </w:p>
    <w:p w:rsidR="00154973" w:rsidRPr="002F3BB0" w:rsidRDefault="00154973" w:rsidP="000634E2">
      <w:pPr>
        <w:spacing w:before="120" w:after="240" w:line="240" w:lineRule="auto"/>
        <w:rPr>
          <w:rFonts w:ascii="Arial" w:hAnsi="Arial" w:cs="Arial"/>
          <w:i w:val="0"/>
          <w:sz w:val="22"/>
        </w:rPr>
      </w:pPr>
      <w:r w:rsidRPr="002F3BB0">
        <w:rPr>
          <w:rFonts w:ascii="Arial" w:hAnsi="Arial" w:cs="Arial"/>
          <w:i w:val="0"/>
          <w:sz w:val="22"/>
        </w:rPr>
        <w:t>The objectives of the Bill were to ensure the opportunity for full participation in Queensland’s electoral process and to enhance voter integrity and voting convenience.  The Commission noted that the right to vote without unreasonable restriction is recognised in international human rights agreements to which Australia is a party.  The Commission supported the proposal to facilitate electronically assisted voting for people with vision or mobility impairments, insufficient literacy, and those who require assistance due to impairment.  The Commission raised concerns about the impact of proof of identity requirements on various disadvantaged groups such as Aboriginal and Torres Strait Islander people, people with mental illness or intellectual disability, some young people, and people in rural and remote areas.  The Commission recommended removing the proof of identity requirement from the Bill, there being insufficient evidence of the necessity for this requirement.</w:t>
      </w:r>
    </w:p>
    <w:p w:rsidR="0030686C" w:rsidRPr="000634E2" w:rsidRDefault="00154973" w:rsidP="000634E2">
      <w:pPr>
        <w:spacing w:before="120" w:after="240" w:line="240" w:lineRule="auto"/>
        <w:rPr>
          <w:b/>
          <w:sz w:val="22"/>
          <w:szCs w:val="22"/>
        </w:rPr>
      </w:pPr>
      <w:r w:rsidRPr="000634E2">
        <w:rPr>
          <w:b/>
          <w:i w:val="0"/>
          <w:sz w:val="22"/>
          <w:szCs w:val="22"/>
        </w:rPr>
        <w:t>T</w:t>
      </w:r>
      <w:r w:rsidR="0030686C" w:rsidRPr="000634E2">
        <w:rPr>
          <w:b/>
          <w:i w:val="0"/>
          <w:sz w:val="22"/>
          <w:szCs w:val="22"/>
        </w:rPr>
        <w:t xml:space="preserve">he Legal Affairs and Community Safety Committee (Qld) on its inquiry into the </w:t>
      </w:r>
      <w:r w:rsidR="0030686C" w:rsidRPr="000634E2">
        <w:rPr>
          <w:b/>
          <w:sz w:val="22"/>
          <w:szCs w:val="22"/>
        </w:rPr>
        <w:t>Youth Justice and Other Legislation Amendment Bill 2014</w:t>
      </w:r>
    </w:p>
    <w:p w:rsidR="00154973" w:rsidRPr="002F3BB0" w:rsidRDefault="00154973" w:rsidP="000634E2">
      <w:pPr>
        <w:spacing w:before="120" w:after="240" w:line="240" w:lineRule="auto"/>
        <w:rPr>
          <w:rFonts w:ascii="Arial" w:hAnsi="Arial" w:cs="Arial"/>
          <w:i w:val="0"/>
          <w:sz w:val="22"/>
        </w:rPr>
      </w:pPr>
      <w:r w:rsidRPr="002F3BB0">
        <w:rPr>
          <w:rFonts w:ascii="Arial" w:hAnsi="Arial" w:cs="Arial"/>
          <w:i w:val="0"/>
          <w:sz w:val="22"/>
        </w:rPr>
        <w:t>The submission built on the Commission’s earlier submission to the department, focusing on the human rights implications of sentencing principles, publication of identifying information and open court, 17 year olds in adult prisons, and diversion and early intervention.  The Commission referred to research that shows detention is the least effective option for reducing re-offending, that youth detention is an effective pathway to adult offending, and the need to address the underlying causes of juvenile offending.  The submission demonstrated inconsistencies between proposals and the international human rights instruments to which Australia is a party, and urged the Committee to recommend an evidence-based approach to policy making.</w:t>
      </w:r>
    </w:p>
    <w:p w:rsidR="0030686C" w:rsidRPr="000634E2" w:rsidRDefault="00154973" w:rsidP="000634E2">
      <w:pPr>
        <w:spacing w:before="120" w:after="240" w:line="240" w:lineRule="auto"/>
        <w:rPr>
          <w:b/>
          <w:i w:val="0"/>
          <w:sz w:val="22"/>
          <w:szCs w:val="22"/>
        </w:rPr>
      </w:pPr>
      <w:r w:rsidRPr="000634E2">
        <w:rPr>
          <w:b/>
          <w:i w:val="0"/>
          <w:sz w:val="22"/>
          <w:szCs w:val="22"/>
        </w:rPr>
        <w:t>T</w:t>
      </w:r>
      <w:r w:rsidR="0030686C" w:rsidRPr="000634E2">
        <w:rPr>
          <w:b/>
          <w:i w:val="0"/>
          <w:sz w:val="22"/>
          <w:szCs w:val="22"/>
        </w:rPr>
        <w:t>he Attorney-General’s Department (</w:t>
      </w:r>
      <w:proofErr w:type="spellStart"/>
      <w:r w:rsidR="0030686C" w:rsidRPr="000634E2">
        <w:rPr>
          <w:b/>
          <w:i w:val="0"/>
          <w:sz w:val="22"/>
          <w:szCs w:val="22"/>
        </w:rPr>
        <w:t>Cth</w:t>
      </w:r>
      <w:proofErr w:type="spellEnd"/>
      <w:r w:rsidR="0030686C" w:rsidRPr="000634E2">
        <w:rPr>
          <w:b/>
          <w:i w:val="0"/>
          <w:sz w:val="22"/>
          <w:szCs w:val="22"/>
        </w:rPr>
        <w:t xml:space="preserve">) on the Exposure Draft – </w:t>
      </w:r>
      <w:r w:rsidR="0030686C" w:rsidRPr="000634E2">
        <w:rPr>
          <w:b/>
          <w:sz w:val="22"/>
          <w:szCs w:val="22"/>
        </w:rPr>
        <w:t>Freedom of Speech (Repeal of s18C) Bill 2014</w:t>
      </w:r>
      <w:r w:rsidR="0030686C" w:rsidRPr="000634E2">
        <w:rPr>
          <w:b/>
          <w:i w:val="0"/>
          <w:sz w:val="22"/>
          <w:szCs w:val="22"/>
        </w:rPr>
        <w:t>, as well as contributing to a joint submission of the State ant</w:t>
      </w:r>
      <w:r w:rsidRPr="000634E2">
        <w:rPr>
          <w:b/>
          <w:i w:val="0"/>
          <w:sz w:val="22"/>
          <w:szCs w:val="22"/>
        </w:rPr>
        <w:t>i-discrimination bodies (ACHRA)</w:t>
      </w:r>
    </w:p>
    <w:p w:rsidR="00154973" w:rsidRPr="002F3BB0" w:rsidRDefault="006D1906" w:rsidP="00303CDD">
      <w:pPr>
        <w:spacing w:after="240" w:line="240" w:lineRule="auto"/>
        <w:rPr>
          <w:rFonts w:ascii="Arial" w:hAnsi="Arial" w:cs="Arial"/>
          <w:i w:val="0"/>
          <w:sz w:val="22"/>
        </w:rPr>
      </w:pPr>
      <w:r>
        <w:rPr>
          <w:rFonts w:ascii="Arial" w:hAnsi="Arial" w:cs="Arial"/>
          <w:i w:val="0"/>
          <w:sz w:val="22"/>
        </w:rPr>
        <w:t>The Commission discussed</w:t>
      </w:r>
      <w:r w:rsidR="00154973" w:rsidRPr="002F3BB0">
        <w:rPr>
          <w:rFonts w:ascii="Arial" w:hAnsi="Arial" w:cs="Arial"/>
          <w:i w:val="0"/>
          <w:sz w:val="22"/>
        </w:rPr>
        <w:t xml:space="preserve"> the background to the current provisions of the </w:t>
      </w:r>
      <w:r w:rsidR="00154973" w:rsidRPr="006D1906">
        <w:rPr>
          <w:rFonts w:ascii="Arial" w:hAnsi="Arial" w:cs="Arial"/>
          <w:sz w:val="22"/>
        </w:rPr>
        <w:t>Racial Discrimination Act 1975</w:t>
      </w:r>
      <w:r w:rsidR="00154973" w:rsidRPr="002F3BB0">
        <w:rPr>
          <w:rFonts w:ascii="Arial" w:hAnsi="Arial" w:cs="Arial"/>
          <w:i w:val="0"/>
          <w:sz w:val="22"/>
        </w:rPr>
        <w:t xml:space="preserve"> (</w:t>
      </w:r>
      <w:proofErr w:type="spellStart"/>
      <w:r w:rsidR="00154973" w:rsidRPr="002F3BB0">
        <w:rPr>
          <w:rFonts w:ascii="Arial" w:hAnsi="Arial" w:cs="Arial"/>
          <w:i w:val="0"/>
          <w:sz w:val="22"/>
        </w:rPr>
        <w:t>Clth</w:t>
      </w:r>
      <w:proofErr w:type="spellEnd"/>
      <w:r w:rsidR="00154973" w:rsidRPr="002F3BB0">
        <w:rPr>
          <w:rFonts w:ascii="Arial" w:hAnsi="Arial" w:cs="Arial"/>
          <w:i w:val="0"/>
          <w:sz w:val="22"/>
        </w:rPr>
        <w:t>) and the harms caused by racism.  The Commission submit</w:t>
      </w:r>
      <w:r>
        <w:rPr>
          <w:rFonts w:ascii="Arial" w:hAnsi="Arial" w:cs="Arial"/>
          <w:i w:val="0"/>
          <w:sz w:val="22"/>
        </w:rPr>
        <w:t>ted that</w:t>
      </w:r>
      <w:r w:rsidR="00154973" w:rsidRPr="002F3BB0">
        <w:rPr>
          <w:rFonts w:ascii="Arial" w:hAnsi="Arial" w:cs="Arial"/>
          <w:i w:val="0"/>
          <w:sz w:val="22"/>
        </w:rPr>
        <w:t xml:space="preserve"> the practical operation of the current laws must be considered in the debate, and concludes there is no need to amend the current prov</w:t>
      </w:r>
      <w:r>
        <w:rPr>
          <w:rFonts w:ascii="Arial" w:hAnsi="Arial" w:cs="Arial"/>
          <w:i w:val="0"/>
          <w:sz w:val="22"/>
        </w:rPr>
        <w:t>isions.  The Commission suggested</w:t>
      </w:r>
      <w:r w:rsidR="00154973" w:rsidRPr="002F3BB0">
        <w:rPr>
          <w:rFonts w:ascii="Arial" w:hAnsi="Arial" w:cs="Arial"/>
          <w:i w:val="0"/>
          <w:sz w:val="22"/>
        </w:rPr>
        <w:t xml:space="preserve"> that if there is to be an amendment, it should follow the model of the Queensland and New South Wales vilification provisions.</w:t>
      </w:r>
    </w:p>
    <w:p w:rsidR="0030686C" w:rsidRPr="002F3BB0" w:rsidRDefault="0030686C" w:rsidP="00303CDD">
      <w:pPr>
        <w:spacing w:after="240" w:line="240" w:lineRule="auto"/>
        <w:rPr>
          <w:rFonts w:ascii="Arial" w:hAnsi="Arial" w:cs="Arial"/>
          <w:i w:val="0"/>
          <w:sz w:val="22"/>
        </w:rPr>
      </w:pPr>
      <w:r w:rsidRPr="002F3BB0">
        <w:rPr>
          <w:rFonts w:ascii="Arial" w:hAnsi="Arial" w:cs="Arial"/>
          <w:i w:val="0"/>
          <w:sz w:val="22"/>
        </w:rPr>
        <w:lastRenderedPageBreak/>
        <w:t xml:space="preserve">The Commission also provided input to the Department of Justice and Attorney-General for contribution to Australia’s report on the implementation of the </w:t>
      </w:r>
      <w:r w:rsidRPr="00BD357E">
        <w:rPr>
          <w:rFonts w:ascii="Arial" w:hAnsi="Arial" w:cs="Arial"/>
          <w:sz w:val="22"/>
        </w:rPr>
        <w:t xml:space="preserve">Convention for the Elimination of Discrimination </w:t>
      </w:r>
      <w:proofErr w:type="gramStart"/>
      <w:r w:rsidRPr="00BD357E">
        <w:rPr>
          <w:rFonts w:ascii="Arial" w:hAnsi="Arial" w:cs="Arial"/>
          <w:sz w:val="22"/>
        </w:rPr>
        <w:t>Against</w:t>
      </w:r>
      <w:proofErr w:type="gramEnd"/>
      <w:r w:rsidRPr="00BD357E">
        <w:rPr>
          <w:rFonts w:ascii="Arial" w:hAnsi="Arial" w:cs="Arial"/>
          <w:sz w:val="22"/>
        </w:rPr>
        <w:t xml:space="preserve"> Women</w:t>
      </w:r>
      <w:r w:rsidRPr="002F3BB0">
        <w:rPr>
          <w:rFonts w:ascii="Arial" w:hAnsi="Arial" w:cs="Arial"/>
          <w:i w:val="0"/>
          <w:sz w:val="22"/>
        </w:rPr>
        <w:t xml:space="preserve"> for the period 1 July 2010 to 30 June 2014.</w:t>
      </w:r>
    </w:p>
    <w:p w:rsidR="0030686C" w:rsidRPr="002F3BB0" w:rsidRDefault="0030686C" w:rsidP="00303CDD">
      <w:pPr>
        <w:spacing w:after="240" w:line="240" w:lineRule="auto"/>
        <w:rPr>
          <w:rFonts w:ascii="Arial" w:hAnsi="Arial" w:cs="Arial"/>
          <w:i w:val="0"/>
          <w:sz w:val="22"/>
        </w:rPr>
      </w:pPr>
      <w:r w:rsidRPr="002F3BB0">
        <w:rPr>
          <w:rFonts w:ascii="Arial" w:hAnsi="Arial" w:cs="Arial"/>
          <w:i w:val="0"/>
          <w:sz w:val="22"/>
        </w:rPr>
        <w:t xml:space="preserve">The Anti-Discrimination Commissioner and Deputy Commissioner appeared </w:t>
      </w:r>
      <w:r w:rsidR="006D1906">
        <w:rPr>
          <w:rFonts w:ascii="Arial" w:hAnsi="Arial" w:cs="Arial"/>
          <w:i w:val="0"/>
          <w:sz w:val="22"/>
        </w:rPr>
        <w:t>and</w:t>
      </w:r>
      <w:r w:rsidRPr="002F3BB0">
        <w:rPr>
          <w:rFonts w:ascii="Arial" w:hAnsi="Arial" w:cs="Arial"/>
          <w:i w:val="0"/>
          <w:sz w:val="22"/>
        </w:rPr>
        <w:t xml:space="preserve"> g</w:t>
      </w:r>
      <w:r w:rsidR="006D1906">
        <w:rPr>
          <w:rFonts w:ascii="Arial" w:hAnsi="Arial" w:cs="Arial"/>
          <w:i w:val="0"/>
          <w:sz w:val="22"/>
        </w:rPr>
        <w:t>a</w:t>
      </w:r>
      <w:r w:rsidRPr="002F3BB0">
        <w:rPr>
          <w:rFonts w:ascii="Arial" w:hAnsi="Arial" w:cs="Arial"/>
          <w:i w:val="0"/>
          <w:sz w:val="22"/>
        </w:rPr>
        <w:t>ve evidence before the foll</w:t>
      </w:r>
      <w:r w:rsidR="009A4581">
        <w:rPr>
          <w:rFonts w:ascii="Arial" w:hAnsi="Arial" w:cs="Arial"/>
          <w:i w:val="0"/>
          <w:sz w:val="22"/>
        </w:rPr>
        <w:t>owing Parliamentary Committees:</w:t>
      </w:r>
    </w:p>
    <w:p w:rsidR="0030686C" w:rsidRPr="008963F7" w:rsidRDefault="0030686C" w:rsidP="008963F7">
      <w:pPr>
        <w:numPr>
          <w:ilvl w:val="0"/>
          <w:numId w:val="13"/>
        </w:numPr>
        <w:spacing w:before="120" w:after="0" w:line="240" w:lineRule="auto"/>
        <w:ind w:left="357" w:hanging="357"/>
        <w:rPr>
          <w:rFonts w:eastAsia="Times New Roman" w:cstheme="minorHAnsi"/>
          <w:i w:val="0"/>
          <w:sz w:val="22"/>
          <w:szCs w:val="22"/>
          <w:lang w:eastAsia="en-AU"/>
        </w:rPr>
      </w:pPr>
      <w:r w:rsidRPr="008963F7">
        <w:rPr>
          <w:rFonts w:eastAsia="Times New Roman" w:cstheme="minorHAnsi"/>
          <w:i w:val="0"/>
          <w:sz w:val="22"/>
          <w:szCs w:val="22"/>
          <w:lang w:eastAsia="en-AU"/>
        </w:rPr>
        <w:t xml:space="preserve">the Transport, Housing and Local Government Committee (Qld) on its inquiry into the </w:t>
      </w:r>
      <w:r w:rsidRPr="008963F7">
        <w:rPr>
          <w:rFonts w:eastAsia="Times New Roman" w:cstheme="minorHAnsi"/>
          <w:sz w:val="22"/>
          <w:szCs w:val="22"/>
          <w:lang w:eastAsia="en-AU"/>
        </w:rPr>
        <w:t>Residential and Rooming Accommodation and Other Legislation Amendment Bill 2013</w:t>
      </w:r>
      <w:r w:rsidRPr="008963F7">
        <w:rPr>
          <w:rFonts w:eastAsia="Times New Roman" w:cstheme="minorHAnsi"/>
          <w:i w:val="0"/>
          <w:sz w:val="22"/>
          <w:szCs w:val="22"/>
          <w:lang w:eastAsia="en-AU"/>
        </w:rPr>
        <w:t>;</w:t>
      </w:r>
    </w:p>
    <w:p w:rsidR="009F6AA8" w:rsidRPr="009F6AA8" w:rsidRDefault="0030686C" w:rsidP="009F6AA8">
      <w:pPr>
        <w:numPr>
          <w:ilvl w:val="0"/>
          <w:numId w:val="13"/>
        </w:numPr>
        <w:spacing w:before="120" w:after="480" w:line="240" w:lineRule="auto"/>
        <w:ind w:left="357" w:hanging="357"/>
        <w:rPr>
          <w:rFonts w:cstheme="minorHAnsi"/>
          <w:i w:val="0"/>
        </w:rPr>
      </w:pPr>
      <w:proofErr w:type="gramStart"/>
      <w:r w:rsidRPr="008963F7">
        <w:rPr>
          <w:rFonts w:eastAsia="Times New Roman" w:cstheme="minorHAnsi"/>
          <w:i w:val="0"/>
          <w:sz w:val="22"/>
          <w:szCs w:val="22"/>
          <w:lang w:eastAsia="en-AU"/>
        </w:rPr>
        <w:t>the</w:t>
      </w:r>
      <w:proofErr w:type="gramEnd"/>
      <w:r w:rsidRPr="008963F7">
        <w:rPr>
          <w:rFonts w:eastAsia="Times New Roman" w:cstheme="minorHAnsi"/>
          <w:i w:val="0"/>
          <w:sz w:val="22"/>
          <w:szCs w:val="22"/>
          <w:lang w:eastAsia="en-AU"/>
        </w:rPr>
        <w:t xml:space="preserve"> Legal Affairs and Community Safety Committee (Qld) on its inquiry into the </w:t>
      </w:r>
      <w:r w:rsidRPr="008963F7">
        <w:rPr>
          <w:rFonts w:eastAsia="Times New Roman" w:cstheme="minorHAnsi"/>
          <w:sz w:val="22"/>
          <w:szCs w:val="22"/>
          <w:lang w:eastAsia="en-AU"/>
        </w:rPr>
        <w:t>Electoral Reform Amendment Bill 2013</w:t>
      </w:r>
      <w:r w:rsidRPr="008963F7">
        <w:rPr>
          <w:rFonts w:eastAsia="Times New Roman" w:cstheme="minorHAnsi"/>
          <w:i w:val="0"/>
          <w:sz w:val="22"/>
          <w:szCs w:val="22"/>
          <w:lang w:eastAsia="en-AU"/>
        </w:rPr>
        <w:t>.</w:t>
      </w:r>
      <w:bookmarkStart w:id="25" w:name="_Toc366487304"/>
      <w:r w:rsidR="009F6AA8">
        <w:rPr>
          <w:rFonts w:eastAsia="Times New Roman" w:cstheme="minorHAnsi"/>
          <w:i w:val="0"/>
          <w:sz w:val="22"/>
          <w:szCs w:val="22"/>
          <w:lang w:eastAsia="en-AU"/>
        </w:rPr>
        <w:br w:type="textWrapping" w:clear="all"/>
      </w:r>
    </w:p>
    <w:p w:rsidR="0035643F" w:rsidRPr="006D1906" w:rsidRDefault="0035643F" w:rsidP="00FE675E">
      <w:pPr>
        <w:pStyle w:val="Heading1"/>
        <w:rPr>
          <w:i w:val="0"/>
          <w:color w:val="auto"/>
        </w:rPr>
      </w:pPr>
      <w:bookmarkStart w:id="26" w:name="_Toc397345683"/>
      <w:r w:rsidRPr="006D1906">
        <w:rPr>
          <w:i w:val="0"/>
          <w:color w:val="auto"/>
        </w:rPr>
        <w:t>Legal information</w:t>
      </w:r>
      <w:bookmarkEnd w:id="25"/>
      <w:bookmarkEnd w:id="26"/>
    </w:p>
    <w:p w:rsidR="001B3D5C" w:rsidRPr="002F3BB0" w:rsidRDefault="001B3D5C" w:rsidP="00416245">
      <w:pPr>
        <w:spacing w:after="120" w:line="240" w:lineRule="auto"/>
        <w:rPr>
          <w:rFonts w:eastAsia="Times New Roman" w:cstheme="minorHAnsi"/>
          <w:b/>
          <w:i w:val="0"/>
          <w:sz w:val="22"/>
          <w:szCs w:val="22"/>
          <w:lang w:eastAsia="en-AU"/>
        </w:rPr>
      </w:pPr>
      <w:r w:rsidRPr="002F3BB0">
        <w:rPr>
          <w:rFonts w:eastAsia="Times New Roman" w:cstheme="minorHAnsi"/>
          <w:b/>
          <w:i w:val="0"/>
          <w:sz w:val="22"/>
          <w:szCs w:val="22"/>
          <w:lang w:eastAsia="en-AU"/>
        </w:rPr>
        <w:t>Applications to the Queensland Civil and Administrative Tribunal for review</w:t>
      </w:r>
    </w:p>
    <w:p w:rsidR="00743D8C" w:rsidRPr="002F3BB0" w:rsidRDefault="00743D8C" w:rsidP="002A3EB7">
      <w:pPr>
        <w:spacing w:before="120" w:after="240" w:line="240" w:lineRule="auto"/>
        <w:rPr>
          <w:rFonts w:ascii="Arial" w:hAnsi="Arial" w:cs="Arial"/>
          <w:i w:val="0"/>
          <w:sz w:val="22"/>
        </w:rPr>
      </w:pPr>
      <w:r w:rsidRPr="002F3BB0">
        <w:rPr>
          <w:rFonts w:ascii="Arial" w:hAnsi="Arial" w:cs="Arial"/>
          <w:i w:val="0"/>
          <w:sz w:val="22"/>
        </w:rPr>
        <w:t xml:space="preserve">Under section 169 of the </w:t>
      </w:r>
      <w:r w:rsidRPr="002F3BB0">
        <w:rPr>
          <w:rFonts w:ascii="Arial" w:hAnsi="Arial" w:cs="Arial"/>
          <w:sz w:val="22"/>
        </w:rPr>
        <w:t>Anti-Discrimination Act 1991</w:t>
      </w:r>
      <w:r w:rsidRPr="002F3BB0">
        <w:rPr>
          <w:rFonts w:ascii="Arial" w:hAnsi="Arial" w:cs="Arial"/>
          <w:i w:val="0"/>
          <w:sz w:val="22"/>
        </w:rPr>
        <w:t xml:space="preserve"> a complainant may apply to the Queensland Civil and Administrative Tribunal (QCAT) for review of a decision to lapse a complaint where the Commissioner had formed the opinion that the complainant had lost interest in continuing with the complaint.</w:t>
      </w:r>
    </w:p>
    <w:p w:rsidR="00743D8C" w:rsidRPr="002F3BB0" w:rsidRDefault="00743D8C" w:rsidP="002A3EB7">
      <w:pPr>
        <w:spacing w:before="120" w:after="240" w:line="240" w:lineRule="auto"/>
        <w:rPr>
          <w:rFonts w:ascii="Arial" w:hAnsi="Arial" w:cs="Arial"/>
          <w:i w:val="0"/>
          <w:sz w:val="22"/>
        </w:rPr>
      </w:pPr>
      <w:r w:rsidRPr="002F3BB0">
        <w:rPr>
          <w:rFonts w:ascii="Arial" w:hAnsi="Arial" w:cs="Arial"/>
          <w:i w:val="0"/>
          <w:sz w:val="22"/>
        </w:rPr>
        <w:t>There were no applications to QCA</w:t>
      </w:r>
      <w:r w:rsidR="009A4581">
        <w:rPr>
          <w:rFonts w:ascii="Arial" w:hAnsi="Arial" w:cs="Arial"/>
          <w:i w:val="0"/>
          <w:sz w:val="22"/>
        </w:rPr>
        <w:t>T for review during the period.</w:t>
      </w:r>
    </w:p>
    <w:p w:rsidR="001B3D5C" w:rsidRPr="002A3EB7" w:rsidRDefault="001B3D5C" w:rsidP="00565444">
      <w:pPr>
        <w:pStyle w:val="Heading2"/>
        <w:rPr>
          <w:rFonts w:eastAsia="Times New Roman"/>
          <w:i/>
          <w:lang w:eastAsia="en-AU"/>
        </w:rPr>
      </w:pPr>
      <w:r w:rsidRPr="002A3EB7">
        <w:rPr>
          <w:rFonts w:eastAsia="Times New Roman"/>
          <w:lang w:eastAsia="en-AU"/>
        </w:rPr>
        <w:t>Judicial Review of decisions</w:t>
      </w:r>
    </w:p>
    <w:p w:rsidR="00743D8C" w:rsidRPr="002F3BB0" w:rsidRDefault="00743D8C" w:rsidP="002A3EB7">
      <w:pPr>
        <w:spacing w:before="120" w:after="240" w:line="240" w:lineRule="auto"/>
        <w:rPr>
          <w:rFonts w:ascii="Arial" w:hAnsi="Arial" w:cs="Arial"/>
          <w:i w:val="0"/>
          <w:sz w:val="22"/>
        </w:rPr>
      </w:pPr>
      <w:r w:rsidRPr="002F3BB0">
        <w:rPr>
          <w:rFonts w:ascii="Arial" w:hAnsi="Arial" w:cs="Arial"/>
          <w:i w:val="0"/>
          <w:sz w:val="22"/>
        </w:rPr>
        <w:t xml:space="preserve">Decisions of the Commissioner may be judicially reviewed by the Queensland Supreme Court under the </w:t>
      </w:r>
      <w:r w:rsidRPr="002F3BB0">
        <w:rPr>
          <w:rFonts w:ascii="Arial" w:hAnsi="Arial" w:cs="Arial"/>
          <w:sz w:val="22"/>
        </w:rPr>
        <w:t>Judicial Review Act 1991</w:t>
      </w:r>
      <w:r w:rsidRPr="002F3BB0">
        <w:rPr>
          <w:rFonts w:ascii="Arial" w:hAnsi="Arial" w:cs="Arial"/>
          <w:i w:val="0"/>
          <w:sz w:val="22"/>
        </w:rPr>
        <w:t>.</w:t>
      </w:r>
    </w:p>
    <w:p w:rsidR="00743D8C" w:rsidRPr="002F3BB0" w:rsidRDefault="00743D8C" w:rsidP="002A3EB7">
      <w:pPr>
        <w:spacing w:before="120" w:after="0" w:line="240" w:lineRule="auto"/>
        <w:rPr>
          <w:rFonts w:ascii="Arial" w:hAnsi="Arial" w:cs="Arial"/>
          <w:i w:val="0"/>
          <w:sz w:val="22"/>
        </w:rPr>
      </w:pPr>
      <w:r w:rsidRPr="002F3BB0">
        <w:rPr>
          <w:rFonts w:ascii="Arial" w:hAnsi="Arial" w:cs="Arial"/>
          <w:i w:val="0"/>
          <w:sz w:val="22"/>
        </w:rPr>
        <w:t>There were no applications for judicial review during the period.</w:t>
      </w:r>
    </w:p>
    <w:p w:rsidR="00743D8C" w:rsidRPr="002A3EB7" w:rsidRDefault="00F300B9" w:rsidP="00565444">
      <w:pPr>
        <w:pStyle w:val="Heading2"/>
        <w:rPr>
          <w:rFonts w:eastAsia="Times New Roman" w:cstheme="minorHAnsi"/>
          <w:b w:val="0"/>
          <w:i/>
          <w:lang w:eastAsia="en-AU"/>
        </w:rPr>
      </w:pPr>
      <w:r w:rsidRPr="00565444">
        <w:rPr>
          <w:rFonts w:eastAsia="Times New Roman"/>
          <w:lang w:eastAsia="en-AU"/>
        </w:rPr>
        <w:t>I</w:t>
      </w:r>
      <w:r w:rsidR="001B3D5C" w:rsidRPr="00565444">
        <w:rPr>
          <w:rFonts w:eastAsia="Times New Roman"/>
          <w:lang w:eastAsia="en-AU"/>
        </w:rPr>
        <w:t>ntervention</w:t>
      </w:r>
      <w:r w:rsidR="001B3D5C" w:rsidRPr="002A3EB7">
        <w:rPr>
          <w:rFonts w:eastAsia="Times New Roman" w:cstheme="minorHAnsi"/>
          <w:lang w:eastAsia="en-AU"/>
        </w:rPr>
        <w:t xml:space="preserve"> in proceedings</w:t>
      </w:r>
    </w:p>
    <w:p w:rsidR="00743D8C" w:rsidRPr="002F3BB0" w:rsidRDefault="00743D8C" w:rsidP="002A3EB7">
      <w:pPr>
        <w:spacing w:before="120" w:after="240" w:line="240" w:lineRule="auto"/>
        <w:rPr>
          <w:rFonts w:ascii="Arial" w:hAnsi="Arial" w:cs="Arial"/>
          <w:i w:val="0"/>
          <w:sz w:val="22"/>
        </w:rPr>
      </w:pPr>
      <w:r w:rsidRPr="002F3BB0">
        <w:rPr>
          <w:rFonts w:ascii="Arial" w:hAnsi="Arial" w:cs="Arial"/>
          <w:i w:val="0"/>
          <w:sz w:val="22"/>
        </w:rPr>
        <w:t xml:space="preserve">Under section 235 of the </w:t>
      </w:r>
      <w:r w:rsidRPr="002F3BB0">
        <w:rPr>
          <w:rFonts w:ascii="Arial" w:hAnsi="Arial" w:cs="Arial"/>
          <w:sz w:val="22"/>
        </w:rPr>
        <w:t>Anti-Discrimination Act 1991</w:t>
      </w:r>
      <w:r w:rsidRPr="002F3BB0">
        <w:rPr>
          <w:rFonts w:ascii="Arial" w:hAnsi="Arial" w:cs="Arial"/>
          <w:i w:val="0"/>
          <w:sz w:val="22"/>
        </w:rPr>
        <w:t xml:space="preserve"> the Commission has the function to intervene in a proceeding that involves human rights issue, with the leave of the court hearing the proceeding, if the Commission considers it appropriate to do so.</w:t>
      </w:r>
    </w:p>
    <w:p w:rsidR="00743D8C" w:rsidRPr="002F3BB0" w:rsidRDefault="00743D8C" w:rsidP="002A3EB7">
      <w:pPr>
        <w:spacing w:before="120" w:after="0" w:line="240" w:lineRule="auto"/>
        <w:rPr>
          <w:rFonts w:ascii="Arial" w:hAnsi="Arial" w:cs="Arial"/>
          <w:i w:val="0"/>
          <w:sz w:val="22"/>
        </w:rPr>
      </w:pPr>
      <w:r w:rsidRPr="002F3BB0">
        <w:rPr>
          <w:rFonts w:ascii="Arial" w:hAnsi="Arial" w:cs="Arial"/>
          <w:i w:val="0"/>
          <w:sz w:val="22"/>
        </w:rPr>
        <w:t>There were no interventions taken by the Commission during the period.</w:t>
      </w:r>
    </w:p>
    <w:p w:rsidR="0028797A" w:rsidRPr="002A3EB7" w:rsidRDefault="0028797A" w:rsidP="00565444">
      <w:pPr>
        <w:pStyle w:val="Heading2"/>
        <w:rPr>
          <w:rFonts w:eastAsia="Times New Roman" w:cstheme="minorHAnsi"/>
          <w:b w:val="0"/>
          <w:i/>
          <w:lang w:eastAsia="en-AU"/>
        </w:rPr>
      </w:pPr>
      <w:r w:rsidRPr="00565444">
        <w:rPr>
          <w:rFonts w:eastAsia="Times New Roman"/>
          <w:lang w:eastAsia="en-AU"/>
        </w:rPr>
        <w:t>Exemptions</w:t>
      </w:r>
    </w:p>
    <w:p w:rsidR="0028797A" w:rsidRPr="002F3BB0" w:rsidRDefault="0028797A" w:rsidP="002A3EB7">
      <w:pPr>
        <w:spacing w:before="120" w:after="240" w:line="240" w:lineRule="auto"/>
        <w:rPr>
          <w:rFonts w:ascii="Arial" w:hAnsi="Arial" w:cs="Arial"/>
          <w:i w:val="0"/>
          <w:sz w:val="22"/>
        </w:rPr>
      </w:pPr>
      <w:r w:rsidRPr="002F3BB0">
        <w:rPr>
          <w:rFonts w:ascii="Arial" w:hAnsi="Arial" w:cs="Arial"/>
          <w:i w:val="0"/>
          <w:sz w:val="22"/>
        </w:rPr>
        <w:t xml:space="preserve">Under section 113 of the </w:t>
      </w:r>
      <w:r w:rsidRPr="002F3BB0">
        <w:rPr>
          <w:rFonts w:ascii="Arial" w:hAnsi="Arial" w:cs="Arial"/>
          <w:sz w:val="22"/>
        </w:rPr>
        <w:t>Anti-Discrimination Act 1991</w:t>
      </w:r>
      <w:r w:rsidRPr="002F3BB0">
        <w:rPr>
          <w:rFonts w:ascii="Arial" w:hAnsi="Arial" w:cs="Arial"/>
          <w:i w:val="0"/>
          <w:sz w:val="22"/>
        </w:rPr>
        <w:t xml:space="preserve"> the Queensland Civil and Administrative Tribunal (QCAT) is required to consult the Commission before deciding an application for an exemption from the operation of a specified provision of the </w:t>
      </w:r>
      <w:r w:rsidRPr="002F3BB0">
        <w:rPr>
          <w:rFonts w:ascii="Arial" w:hAnsi="Arial" w:cs="Arial"/>
          <w:sz w:val="22"/>
        </w:rPr>
        <w:t>Anti-Discrimination Act 1991</w:t>
      </w:r>
      <w:r w:rsidR="009A4581">
        <w:rPr>
          <w:rFonts w:ascii="Arial" w:hAnsi="Arial" w:cs="Arial"/>
          <w:i w:val="0"/>
          <w:sz w:val="22"/>
        </w:rPr>
        <w:t>.</w:t>
      </w:r>
    </w:p>
    <w:p w:rsidR="0028797A" w:rsidRPr="002F3BB0" w:rsidRDefault="0028797A" w:rsidP="00416245">
      <w:pPr>
        <w:spacing w:before="240" w:after="120" w:line="240" w:lineRule="auto"/>
        <w:rPr>
          <w:rFonts w:ascii="Arial" w:hAnsi="Arial" w:cs="Arial"/>
          <w:i w:val="0"/>
          <w:sz w:val="22"/>
        </w:rPr>
      </w:pPr>
      <w:r w:rsidRPr="002F3BB0">
        <w:rPr>
          <w:rFonts w:ascii="Arial" w:hAnsi="Arial" w:cs="Arial"/>
          <w:i w:val="0"/>
          <w:sz w:val="22"/>
        </w:rPr>
        <w:t>During the period the Commission made:</w:t>
      </w:r>
    </w:p>
    <w:p w:rsidR="0028797A" w:rsidRPr="00416245" w:rsidRDefault="0028797A" w:rsidP="00416245">
      <w:pPr>
        <w:numPr>
          <w:ilvl w:val="0"/>
          <w:numId w:val="13"/>
        </w:numPr>
        <w:spacing w:before="120" w:after="0" w:line="240" w:lineRule="auto"/>
        <w:ind w:left="357" w:hanging="357"/>
        <w:rPr>
          <w:rFonts w:eastAsia="Times New Roman" w:cstheme="minorHAnsi"/>
          <w:i w:val="0"/>
          <w:sz w:val="22"/>
          <w:szCs w:val="22"/>
          <w:lang w:eastAsia="en-AU"/>
        </w:rPr>
      </w:pPr>
      <w:r w:rsidRPr="00416245">
        <w:rPr>
          <w:rFonts w:eastAsia="Times New Roman" w:cstheme="minorHAnsi"/>
          <w:i w:val="0"/>
          <w:sz w:val="22"/>
          <w:szCs w:val="22"/>
          <w:lang w:eastAsia="en-AU"/>
        </w:rPr>
        <w:t xml:space="preserve">9 submissions to QCAT on applications for exemption from the operation of the </w:t>
      </w:r>
      <w:r w:rsidRPr="00416245">
        <w:rPr>
          <w:rFonts w:eastAsia="Times New Roman" w:cstheme="minorHAnsi"/>
          <w:sz w:val="22"/>
          <w:szCs w:val="22"/>
          <w:lang w:eastAsia="en-AU"/>
        </w:rPr>
        <w:t>Anti-Discrimination Act 1991</w:t>
      </w:r>
      <w:r w:rsidRPr="00416245">
        <w:rPr>
          <w:rFonts w:eastAsia="Times New Roman" w:cstheme="minorHAnsi"/>
          <w:i w:val="0"/>
          <w:sz w:val="22"/>
          <w:szCs w:val="22"/>
          <w:lang w:eastAsia="en-AU"/>
        </w:rPr>
        <w:t>; and</w:t>
      </w:r>
    </w:p>
    <w:p w:rsidR="0028797A" w:rsidRPr="00416245" w:rsidRDefault="0028797A" w:rsidP="00416245">
      <w:pPr>
        <w:numPr>
          <w:ilvl w:val="0"/>
          <w:numId w:val="13"/>
        </w:numPr>
        <w:spacing w:before="120" w:after="0" w:line="240" w:lineRule="auto"/>
        <w:ind w:left="357" w:hanging="357"/>
        <w:rPr>
          <w:rFonts w:eastAsia="Times New Roman" w:cstheme="minorHAnsi"/>
          <w:i w:val="0"/>
          <w:sz w:val="22"/>
          <w:szCs w:val="22"/>
          <w:lang w:eastAsia="en-AU"/>
        </w:rPr>
      </w:pPr>
      <w:r w:rsidRPr="00416245">
        <w:rPr>
          <w:rFonts w:eastAsia="Times New Roman" w:cstheme="minorHAnsi"/>
          <w:i w:val="0"/>
          <w:sz w:val="22"/>
          <w:szCs w:val="22"/>
          <w:lang w:eastAsia="en-AU"/>
        </w:rPr>
        <w:t>1 submission to the QCAT Appeal Tribunal on an appeal by an applicant to a decision on an exemption application.</w:t>
      </w:r>
    </w:p>
    <w:p w:rsidR="0028797A" w:rsidRPr="002F3BB0" w:rsidRDefault="0028797A" w:rsidP="00416245">
      <w:pPr>
        <w:spacing w:before="240" w:after="240" w:line="240" w:lineRule="auto"/>
        <w:rPr>
          <w:rFonts w:ascii="Arial" w:hAnsi="Arial" w:cs="Arial"/>
          <w:i w:val="0"/>
          <w:sz w:val="22"/>
        </w:rPr>
      </w:pPr>
      <w:r w:rsidRPr="002F3BB0">
        <w:rPr>
          <w:rFonts w:ascii="Arial" w:hAnsi="Arial" w:cs="Arial"/>
          <w:i w:val="0"/>
          <w:sz w:val="22"/>
        </w:rPr>
        <w:t xml:space="preserve">The Commission also made 2 submissions to the Australian Human Rights Commission (AHRC) on applications made to the AHRC for exemptions from the operation of the </w:t>
      </w:r>
      <w:r w:rsidRPr="002F3BB0">
        <w:rPr>
          <w:rFonts w:ascii="Arial" w:hAnsi="Arial" w:cs="Arial"/>
          <w:sz w:val="22"/>
        </w:rPr>
        <w:t>Age Discrimination Act 2004.</w:t>
      </w:r>
    </w:p>
    <w:p w:rsidR="00FE675E" w:rsidRDefault="00FE675E">
      <w:pPr>
        <w:rPr>
          <w:rFonts w:eastAsia="Times New Roman" w:cstheme="minorHAnsi"/>
          <w:b/>
          <w:i w:val="0"/>
          <w:sz w:val="22"/>
          <w:szCs w:val="22"/>
          <w:lang w:eastAsia="en-AU"/>
        </w:rPr>
      </w:pPr>
      <w:r>
        <w:rPr>
          <w:rFonts w:eastAsia="Times New Roman" w:cstheme="minorHAnsi"/>
          <w:b/>
          <w:i w:val="0"/>
          <w:sz w:val="22"/>
          <w:szCs w:val="22"/>
          <w:lang w:eastAsia="en-AU"/>
        </w:rPr>
        <w:br w:type="page"/>
      </w:r>
    </w:p>
    <w:p w:rsidR="003D4AF2" w:rsidRPr="002A3EB7" w:rsidRDefault="005D201B" w:rsidP="00565444">
      <w:pPr>
        <w:pStyle w:val="Heading2"/>
        <w:rPr>
          <w:rFonts w:eastAsia="Times New Roman" w:cstheme="minorHAnsi"/>
          <w:b w:val="0"/>
          <w:i/>
          <w:lang w:eastAsia="en-AU"/>
        </w:rPr>
      </w:pPr>
      <w:r w:rsidRPr="00565444">
        <w:rPr>
          <w:rFonts w:eastAsia="Times New Roman"/>
          <w:lang w:eastAsia="en-AU"/>
        </w:rPr>
        <w:lastRenderedPageBreak/>
        <w:t>Queensland</w:t>
      </w:r>
      <w:r w:rsidRPr="002A3EB7">
        <w:rPr>
          <w:rFonts w:eastAsia="Times New Roman" w:cstheme="minorHAnsi"/>
          <w:lang w:eastAsia="en-AU"/>
        </w:rPr>
        <w:t xml:space="preserve"> Civil and Administrative </w:t>
      </w:r>
      <w:r w:rsidR="003D4AF2" w:rsidRPr="002A3EB7">
        <w:rPr>
          <w:rFonts w:eastAsia="Times New Roman" w:cstheme="minorHAnsi"/>
          <w:lang w:eastAsia="en-AU"/>
        </w:rPr>
        <w:t>Tribunal</w:t>
      </w:r>
    </w:p>
    <w:p w:rsidR="0028797A" w:rsidRPr="002F3BB0" w:rsidRDefault="0028797A" w:rsidP="00416245">
      <w:pPr>
        <w:spacing w:before="120" w:after="120" w:line="240" w:lineRule="auto"/>
        <w:rPr>
          <w:rFonts w:ascii="Arial" w:hAnsi="Arial" w:cs="Arial"/>
          <w:i w:val="0"/>
          <w:sz w:val="22"/>
          <w:szCs w:val="22"/>
        </w:rPr>
      </w:pPr>
      <w:r w:rsidRPr="002F3BB0">
        <w:rPr>
          <w:rFonts w:ascii="Arial" w:hAnsi="Arial" w:cs="Arial"/>
          <w:i w:val="0"/>
          <w:sz w:val="22"/>
          <w:szCs w:val="22"/>
        </w:rPr>
        <w:t xml:space="preserve">Under the </w:t>
      </w:r>
      <w:r w:rsidRPr="002F3BB0">
        <w:rPr>
          <w:rFonts w:ascii="Arial" w:hAnsi="Arial" w:cs="Arial"/>
          <w:sz w:val="22"/>
          <w:szCs w:val="22"/>
        </w:rPr>
        <w:t>Anti-Discrimination Act 1991</w:t>
      </w:r>
      <w:r w:rsidRPr="002F3BB0">
        <w:rPr>
          <w:rFonts w:ascii="Arial" w:hAnsi="Arial" w:cs="Arial"/>
          <w:i w:val="0"/>
          <w:sz w:val="22"/>
          <w:szCs w:val="22"/>
        </w:rPr>
        <w:t xml:space="preserve">, the Queensland Civil and Administrative Tribunal (QCAT) </w:t>
      </w:r>
      <w:proofErr w:type="gramStart"/>
      <w:r w:rsidRPr="002F3BB0">
        <w:rPr>
          <w:rFonts w:ascii="Arial" w:hAnsi="Arial" w:cs="Arial"/>
          <w:i w:val="0"/>
          <w:sz w:val="22"/>
          <w:szCs w:val="22"/>
        </w:rPr>
        <w:t>has</w:t>
      </w:r>
      <w:proofErr w:type="gramEnd"/>
      <w:r w:rsidRPr="002F3BB0">
        <w:rPr>
          <w:rFonts w:ascii="Arial" w:hAnsi="Arial" w:cs="Arial"/>
          <w:i w:val="0"/>
          <w:sz w:val="22"/>
          <w:szCs w:val="22"/>
        </w:rPr>
        <w:t xml:space="preserve"> the functions of:</w:t>
      </w:r>
    </w:p>
    <w:p w:rsidR="0028797A" w:rsidRPr="002F3BB0" w:rsidRDefault="0028797A" w:rsidP="00416245">
      <w:pPr>
        <w:pStyle w:val="NormalWeb"/>
        <w:numPr>
          <w:ilvl w:val="1"/>
          <w:numId w:val="10"/>
        </w:numPr>
        <w:spacing w:before="120" w:beforeAutospacing="0" w:after="120" w:afterAutospacing="0"/>
        <w:ind w:left="567" w:hanging="567"/>
        <w:jc w:val="both"/>
        <w:rPr>
          <w:rFonts w:ascii="Arial" w:hAnsi="Arial" w:cs="Arial"/>
          <w:i w:val="0"/>
          <w:color w:val="000000"/>
          <w:sz w:val="22"/>
          <w:szCs w:val="22"/>
        </w:rPr>
      </w:pPr>
      <w:r w:rsidRPr="002F3BB0">
        <w:rPr>
          <w:rFonts w:ascii="Arial" w:hAnsi="Arial" w:cs="Arial"/>
          <w:i w:val="0"/>
          <w:color w:val="000000"/>
          <w:sz w:val="22"/>
          <w:szCs w:val="22"/>
        </w:rPr>
        <w:t>hearing and determining complaints referred by the Commissioner;</w:t>
      </w:r>
      <w:r w:rsidRPr="002F3BB0">
        <w:rPr>
          <w:rStyle w:val="FootnoteReference"/>
          <w:rFonts w:ascii="Arial" w:hAnsi="Arial" w:cs="Arial"/>
          <w:i w:val="0"/>
          <w:color w:val="000000"/>
          <w:sz w:val="22"/>
          <w:szCs w:val="22"/>
        </w:rPr>
        <w:footnoteReference w:id="1"/>
      </w:r>
    </w:p>
    <w:p w:rsidR="0028797A" w:rsidRPr="002F3BB0" w:rsidRDefault="0028797A" w:rsidP="00416245">
      <w:pPr>
        <w:pStyle w:val="NormalWeb"/>
        <w:numPr>
          <w:ilvl w:val="1"/>
          <w:numId w:val="10"/>
        </w:numPr>
        <w:spacing w:before="120" w:beforeAutospacing="0" w:after="120" w:afterAutospacing="0"/>
        <w:ind w:left="567" w:hanging="567"/>
        <w:jc w:val="both"/>
        <w:rPr>
          <w:rFonts w:ascii="Arial" w:hAnsi="Arial" w:cs="Arial"/>
          <w:i w:val="0"/>
          <w:color w:val="000000"/>
          <w:sz w:val="22"/>
          <w:szCs w:val="22"/>
        </w:rPr>
      </w:pPr>
      <w:r w:rsidRPr="002F3BB0">
        <w:rPr>
          <w:rFonts w:ascii="Arial" w:hAnsi="Arial" w:cs="Arial"/>
          <w:i w:val="0"/>
          <w:color w:val="000000"/>
          <w:sz w:val="22"/>
          <w:szCs w:val="22"/>
        </w:rPr>
        <w:t>hearing and determining applications for exemptions;</w:t>
      </w:r>
      <w:r w:rsidRPr="002F3BB0">
        <w:rPr>
          <w:rStyle w:val="FootnoteReference"/>
          <w:rFonts w:ascii="Arial" w:hAnsi="Arial" w:cs="Arial"/>
          <w:i w:val="0"/>
          <w:color w:val="000000"/>
          <w:sz w:val="22"/>
          <w:szCs w:val="22"/>
        </w:rPr>
        <w:footnoteReference w:id="2"/>
      </w:r>
    </w:p>
    <w:p w:rsidR="0028797A" w:rsidRPr="002F3BB0" w:rsidRDefault="0028797A" w:rsidP="00416245">
      <w:pPr>
        <w:pStyle w:val="NormalWeb"/>
        <w:numPr>
          <w:ilvl w:val="1"/>
          <w:numId w:val="10"/>
        </w:numPr>
        <w:spacing w:before="120" w:beforeAutospacing="0" w:after="120" w:afterAutospacing="0"/>
        <w:ind w:left="567" w:hanging="567"/>
        <w:jc w:val="both"/>
        <w:rPr>
          <w:rFonts w:ascii="Arial" w:hAnsi="Arial" w:cs="Arial"/>
          <w:i w:val="0"/>
          <w:color w:val="000000"/>
          <w:sz w:val="22"/>
          <w:szCs w:val="22"/>
        </w:rPr>
      </w:pPr>
      <w:r w:rsidRPr="002F3BB0">
        <w:rPr>
          <w:rFonts w:ascii="Arial" w:hAnsi="Arial" w:cs="Arial"/>
          <w:i w:val="0"/>
          <w:color w:val="000000"/>
          <w:sz w:val="22"/>
          <w:szCs w:val="22"/>
        </w:rPr>
        <w:t>hearing and determining applications for interim orders before referral of a complaint;</w:t>
      </w:r>
      <w:r w:rsidRPr="002F3BB0">
        <w:rPr>
          <w:rStyle w:val="FootnoteReference"/>
          <w:rFonts w:ascii="Arial" w:hAnsi="Arial" w:cs="Arial"/>
          <w:i w:val="0"/>
          <w:color w:val="000000"/>
          <w:sz w:val="22"/>
          <w:szCs w:val="22"/>
        </w:rPr>
        <w:footnoteReference w:id="3"/>
      </w:r>
    </w:p>
    <w:p w:rsidR="0028797A" w:rsidRPr="002F3BB0" w:rsidRDefault="0028797A" w:rsidP="00416245">
      <w:pPr>
        <w:pStyle w:val="NormalWeb"/>
        <w:numPr>
          <w:ilvl w:val="1"/>
          <w:numId w:val="10"/>
        </w:numPr>
        <w:spacing w:before="120" w:beforeAutospacing="0" w:after="120" w:afterAutospacing="0"/>
        <w:ind w:left="567" w:hanging="567"/>
        <w:jc w:val="both"/>
        <w:rPr>
          <w:rFonts w:ascii="Arial" w:hAnsi="Arial" w:cs="Arial"/>
          <w:i w:val="0"/>
          <w:color w:val="000000"/>
          <w:sz w:val="22"/>
          <w:szCs w:val="22"/>
        </w:rPr>
      </w:pPr>
      <w:r w:rsidRPr="002F3BB0">
        <w:rPr>
          <w:rFonts w:ascii="Arial" w:hAnsi="Arial" w:cs="Arial"/>
          <w:i w:val="0"/>
          <w:color w:val="000000"/>
          <w:sz w:val="22"/>
          <w:szCs w:val="22"/>
        </w:rPr>
        <w:t>considering applications for review of a decision that a complainant has lost interest;</w:t>
      </w:r>
      <w:r w:rsidRPr="002F3BB0">
        <w:rPr>
          <w:rStyle w:val="FootnoteReference"/>
          <w:rFonts w:ascii="Arial" w:hAnsi="Arial" w:cs="Arial"/>
          <w:i w:val="0"/>
          <w:color w:val="000000"/>
          <w:sz w:val="22"/>
          <w:szCs w:val="22"/>
        </w:rPr>
        <w:footnoteReference w:id="4"/>
      </w:r>
      <w:r w:rsidRPr="002F3BB0">
        <w:rPr>
          <w:rFonts w:ascii="Arial" w:hAnsi="Arial" w:cs="Arial"/>
          <w:i w:val="0"/>
          <w:color w:val="000000"/>
          <w:sz w:val="22"/>
          <w:szCs w:val="22"/>
        </w:rPr>
        <w:t xml:space="preserve"> and</w:t>
      </w:r>
    </w:p>
    <w:p w:rsidR="0028797A" w:rsidRPr="002F3BB0" w:rsidRDefault="0028797A" w:rsidP="00416245">
      <w:pPr>
        <w:pStyle w:val="NormalWeb"/>
        <w:numPr>
          <w:ilvl w:val="1"/>
          <w:numId w:val="10"/>
        </w:numPr>
        <w:spacing w:before="120" w:beforeAutospacing="0" w:after="120" w:afterAutospacing="0"/>
        <w:ind w:left="567" w:hanging="567"/>
        <w:jc w:val="both"/>
        <w:rPr>
          <w:rFonts w:ascii="Arial" w:hAnsi="Arial" w:cs="Arial"/>
          <w:i w:val="0"/>
          <w:color w:val="000000"/>
          <w:sz w:val="22"/>
          <w:szCs w:val="22"/>
        </w:rPr>
      </w:pPr>
      <w:proofErr w:type="gramStart"/>
      <w:r w:rsidRPr="002F3BB0">
        <w:rPr>
          <w:rFonts w:ascii="Arial" w:hAnsi="Arial" w:cs="Arial"/>
          <w:i w:val="0"/>
          <w:color w:val="000000"/>
          <w:sz w:val="22"/>
          <w:szCs w:val="22"/>
        </w:rPr>
        <w:t>providing</w:t>
      </w:r>
      <w:proofErr w:type="gramEnd"/>
      <w:r w:rsidRPr="002F3BB0">
        <w:rPr>
          <w:rFonts w:ascii="Arial" w:hAnsi="Arial" w:cs="Arial"/>
          <w:i w:val="0"/>
          <w:color w:val="000000"/>
          <w:sz w:val="22"/>
          <w:szCs w:val="22"/>
        </w:rPr>
        <w:t xml:space="preserve"> opinions about the application of the Act.</w:t>
      </w:r>
      <w:r w:rsidRPr="002F3BB0">
        <w:rPr>
          <w:rStyle w:val="FootnoteReference"/>
          <w:rFonts w:ascii="Arial" w:hAnsi="Arial" w:cs="Arial"/>
          <w:i w:val="0"/>
          <w:color w:val="000000"/>
          <w:sz w:val="22"/>
          <w:szCs w:val="22"/>
        </w:rPr>
        <w:footnoteReference w:id="5"/>
      </w:r>
    </w:p>
    <w:p w:rsidR="0028797A" w:rsidRPr="002F3BB0" w:rsidRDefault="0028797A" w:rsidP="00416245">
      <w:pPr>
        <w:spacing w:before="240" w:after="240" w:line="240" w:lineRule="auto"/>
        <w:rPr>
          <w:rFonts w:ascii="Arial" w:hAnsi="Arial" w:cs="Arial"/>
          <w:sz w:val="22"/>
          <w:szCs w:val="22"/>
        </w:rPr>
      </w:pPr>
      <w:r w:rsidRPr="002F3BB0">
        <w:rPr>
          <w:rFonts w:ascii="Arial" w:hAnsi="Arial" w:cs="Arial"/>
          <w:i w:val="0"/>
          <w:sz w:val="22"/>
          <w:szCs w:val="22"/>
        </w:rPr>
        <w:t>The following is a selection of decisions of the tribunal in this jurisdiction which were published during the reporting period.</w:t>
      </w:r>
    </w:p>
    <w:p w:rsidR="003D4AF2" w:rsidRPr="002F3BB0" w:rsidRDefault="003D4AF2" w:rsidP="00565444">
      <w:pPr>
        <w:pStyle w:val="Heading2"/>
        <w:rPr>
          <w:rFonts w:cstheme="minorHAnsi"/>
          <w:b w:val="0"/>
          <w:i/>
        </w:rPr>
      </w:pPr>
      <w:r w:rsidRPr="00565444">
        <w:rPr>
          <w:rFonts w:eastAsia="Times New Roman"/>
          <w:lang w:eastAsia="en-AU"/>
        </w:rPr>
        <w:t>Complaints</w:t>
      </w:r>
    </w:p>
    <w:p w:rsidR="0028797A" w:rsidRPr="00BD357E" w:rsidRDefault="0028797A" w:rsidP="00565444">
      <w:pPr>
        <w:pStyle w:val="Heading3"/>
      </w:pPr>
      <w:r w:rsidRPr="00BD357E">
        <w:t>Access to premises of ‘not-for-profit’ club</w:t>
      </w:r>
    </w:p>
    <w:p w:rsidR="0028797A" w:rsidRPr="002F3BB0" w:rsidRDefault="0028797A" w:rsidP="00416245">
      <w:pPr>
        <w:keepNext/>
        <w:spacing w:before="120" w:after="120" w:line="240" w:lineRule="auto"/>
        <w:ind w:left="284"/>
        <w:rPr>
          <w:rFonts w:ascii="Arial" w:hAnsi="Arial" w:cs="Arial"/>
          <w:i w:val="0"/>
          <w:sz w:val="22"/>
        </w:rPr>
      </w:pPr>
      <w:r w:rsidRPr="002F3BB0">
        <w:rPr>
          <w:rFonts w:ascii="Arial" w:hAnsi="Arial" w:cs="Arial"/>
          <w:i w:val="0"/>
          <w:sz w:val="22"/>
        </w:rPr>
        <w:t xml:space="preserve">A person in a wheelchair was unable to access the Brisbane Polo Club to attend a social function.  Access to premises is a ‘service’ under the </w:t>
      </w:r>
      <w:r w:rsidRPr="002F3BB0">
        <w:rPr>
          <w:rFonts w:ascii="Arial" w:hAnsi="Arial" w:cs="Arial"/>
          <w:sz w:val="22"/>
        </w:rPr>
        <w:t>Anti-Discrimination Act 1991</w:t>
      </w:r>
      <w:r w:rsidRPr="002F3BB0">
        <w:rPr>
          <w:rFonts w:ascii="Arial" w:hAnsi="Arial" w:cs="Arial"/>
          <w:i w:val="0"/>
          <w:sz w:val="22"/>
        </w:rPr>
        <w:t>, which prohibits discrimination in the provision of goods or services.  This prohibition however does not apply to associations established for social, literary, cultural, political, sporting, athletic, recreational, community service or other similar lawful purposes, if they do not carry out their purposes for the purposes of making a profit.  The issue for the tribunal was whether the Brisbane Polo Club carried out its purposes for the purpose of making a profit.</w:t>
      </w:r>
    </w:p>
    <w:p w:rsidR="0028797A" w:rsidRPr="002F3BB0" w:rsidRDefault="0028797A" w:rsidP="00416245">
      <w:pPr>
        <w:keepNext/>
        <w:spacing w:before="240" w:after="120" w:line="240" w:lineRule="auto"/>
        <w:ind w:left="284"/>
        <w:rPr>
          <w:rFonts w:ascii="Arial" w:hAnsi="Arial" w:cs="Arial"/>
          <w:i w:val="0"/>
          <w:sz w:val="22"/>
        </w:rPr>
      </w:pPr>
      <w:r w:rsidRPr="002F3BB0">
        <w:rPr>
          <w:rFonts w:ascii="Arial" w:hAnsi="Arial" w:cs="Arial"/>
          <w:i w:val="0"/>
          <w:sz w:val="22"/>
        </w:rPr>
        <w:t>Evidence before the tribunal was that the club’s income comes from membership fees and commercial activities such as venue hire and private functions.  Income is generated to make enough profit to ensure the club remains financially viable and meets the objects of its constitution for its members.  The fact that the club had moved somewhat away from engaging in the sport of polo did not change its characterisation as an entity whose primary functions are for the benefit of its members.  The Brisbane Polo Club was therefore exempt from the prohibition of discrimination in access to its premises.</w:t>
      </w:r>
    </w:p>
    <w:p w:rsidR="0028797A" w:rsidRPr="002F3BB0" w:rsidRDefault="0028797A" w:rsidP="00416245">
      <w:pPr>
        <w:spacing w:before="240" w:after="120" w:line="240" w:lineRule="auto"/>
        <w:ind w:left="284"/>
        <w:rPr>
          <w:rFonts w:ascii="Arial" w:hAnsi="Arial" w:cs="Arial"/>
          <w:i w:val="0"/>
          <w:sz w:val="22"/>
        </w:rPr>
      </w:pPr>
      <w:r w:rsidRPr="002F3BB0">
        <w:rPr>
          <w:rFonts w:ascii="Arial" w:hAnsi="Arial" w:cs="Arial"/>
          <w:sz w:val="22"/>
        </w:rPr>
        <w:t>Yeo v Brisbane Polo Club Inc</w:t>
      </w:r>
      <w:r w:rsidRPr="002F3BB0">
        <w:rPr>
          <w:rFonts w:ascii="Arial" w:hAnsi="Arial" w:cs="Arial"/>
          <w:i w:val="0"/>
          <w:sz w:val="22"/>
        </w:rPr>
        <w:t>. [2014] QCAT 066</w:t>
      </w:r>
    </w:p>
    <w:p w:rsidR="0028797A" w:rsidRPr="00BD357E" w:rsidRDefault="0028797A" w:rsidP="00565444">
      <w:pPr>
        <w:pStyle w:val="Heading3"/>
      </w:pPr>
      <w:r w:rsidRPr="00BD357E">
        <w:t>Effects of enduring sexual harassment at work</w:t>
      </w:r>
    </w:p>
    <w:p w:rsidR="0028797A" w:rsidRPr="002F3BB0" w:rsidRDefault="0028797A" w:rsidP="00416245">
      <w:pPr>
        <w:keepNext/>
        <w:spacing w:before="120" w:after="240" w:line="240" w:lineRule="auto"/>
        <w:ind w:left="284"/>
        <w:rPr>
          <w:rFonts w:ascii="Arial" w:hAnsi="Arial" w:cs="Arial"/>
          <w:i w:val="0"/>
          <w:sz w:val="22"/>
        </w:rPr>
      </w:pPr>
      <w:r w:rsidRPr="002F3BB0">
        <w:rPr>
          <w:rFonts w:ascii="Arial" w:hAnsi="Arial" w:cs="Arial"/>
          <w:i w:val="0"/>
          <w:sz w:val="22"/>
        </w:rPr>
        <w:t xml:space="preserve">A female traffic control worker who was sexually harassed by a fellow male worker made a complaint against the male worker as well as their employer company and the company that contracted the employer.  During the course of the pre-trail proceedings the claims against both companies were settled.  As a preliminary issue the tribunal decided that a settlement and release of a respondent who was jointly and severally liable under section 133 of the </w:t>
      </w:r>
      <w:r w:rsidRPr="002F3BB0">
        <w:rPr>
          <w:rFonts w:ascii="Arial" w:hAnsi="Arial" w:cs="Arial"/>
          <w:sz w:val="22"/>
        </w:rPr>
        <w:t>Anti-Discrimination Act 1991</w:t>
      </w:r>
      <w:r w:rsidRPr="002F3BB0">
        <w:rPr>
          <w:rFonts w:ascii="Arial" w:hAnsi="Arial" w:cs="Arial"/>
          <w:i w:val="0"/>
          <w:sz w:val="22"/>
        </w:rPr>
        <w:t xml:space="preserve"> does not also release the other respondents.</w:t>
      </w:r>
    </w:p>
    <w:p w:rsidR="0028797A" w:rsidRPr="002F3BB0" w:rsidRDefault="0028797A" w:rsidP="00416245">
      <w:pPr>
        <w:keepNext/>
        <w:spacing w:before="120" w:after="240" w:line="240" w:lineRule="auto"/>
        <w:ind w:left="284"/>
        <w:rPr>
          <w:rFonts w:ascii="Arial" w:hAnsi="Arial" w:cs="Arial"/>
          <w:i w:val="0"/>
          <w:sz w:val="22"/>
        </w:rPr>
      </w:pPr>
      <w:r w:rsidRPr="002F3BB0">
        <w:rPr>
          <w:rFonts w:ascii="Arial" w:hAnsi="Arial" w:cs="Arial"/>
          <w:i w:val="0"/>
          <w:sz w:val="22"/>
        </w:rPr>
        <w:t xml:space="preserve">For five months the woman was subjected to personal comments and questions, and noises and gestures, all of a sexual nature, on a daily basis and throughout each shift.  When the male co-worker inadvertently saw a picture of the woman’s breasts on her phone, for the rest of the day he made comments and sucking noises and rubbed the stop/slow stick on his groin area </w:t>
      </w:r>
      <w:r w:rsidRPr="002F3BB0">
        <w:rPr>
          <w:rFonts w:ascii="Arial" w:hAnsi="Arial" w:cs="Arial"/>
          <w:i w:val="0"/>
          <w:sz w:val="22"/>
        </w:rPr>
        <w:lastRenderedPageBreak/>
        <w:t>while sticking out his tongue.  The woman tried to work the next day but couldn’t cope, and she resigned that night.  She experienced an emotional breakdown which beca</w:t>
      </w:r>
      <w:r w:rsidR="006D1906">
        <w:rPr>
          <w:rFonts w:ascii="Arial" w:hAnsi="Arial" w:cs="Arial"/>
          <w:i w:val="0"/>
          <w:sz w:val="22"/>
        </w:rPr>
        <w:t>me</w:t>
      </w:r>
      <w:r w:rsidRPr="002F3BB0">
        <w:rPr>
          <w:rFonts w:ascii="Arial" w:hAnsi="Arial" w:cs="Arial"/>
          <w:i w:val="0"/>
          <w:sz w:val="22"/>
        </w:rPr>
        <w:t xml:space="preserve"> a Major Depressive Disorder.</w:t>
      </w:r>
    </w:p>
    <w:p w:rsidR="0028797A" w:rsidRPr="002F3BB0" w:rsidRDefault="0028797A" w:rsidP="00416245">
      <w:pPr>
        <w:keepNext/>
        <w:spacing w:before="120" w:after="240" w:line="240" w:lineRule="auto"/>
        <w:ind w:left="284"/>
        <w:rPr>
          <w:rFonts w:ascii="Arial" w:hAnsi="Arial" w:cs="Arial"/>
          <w:i w:val="0"/>
          <w:sz w:val="22"/>
        </w:rPr>
      </w:pPr>
      <w:r w:rsidRPr="002F3BB0">
        <w:rPr>
          <w:rFonts w:ascii="Arial" w:hAnsi="Arial" w:cs="Arial"/>
          <w:i w:val="0"/>
          <w:sz w:val="22"/>
        </w:rPr>
        <w:t>The tribunal found that the sexual harassment was a substantial cause of the woman’s condition, the effects of which would continue over a total period of 3 years, including an inability to work.  The tribunal awarded compensation of $40,000 for non-financial damages, and $102,217 overall.  The settlement amounts paid by the two companies and any lump sum payment for permanent impairment by WorkCover would be deducted from the total award.</w:t>
      </w:r>
    </w:p>
    <w:p w:rsidR="0028797A" w:rsidRPr="002F3BB0" w:rsidRDefault="0028797A" w:rsidP="00416245">
      <w:pPr>
        <w:keepNext/>
        <w:spacing w:before="120" w:after="240" w:line="240" w:lineRule="auto"/>
        <w:ind w:left="284"/>
        <w:rPr>
          <w:rFonts w:ascii="Arial" w:hAnsi="Arial" w:cs="Arial"/>
          <w:i w:val="0"/>
          <w:sz w:val="22"/>
        </w:rPr>
      </w:pPr>
      <w:r w:rsidRPr="002F3BB0">
        <w:rPr>
          <w:rFonts w:ascii="Arial" w:hAnsi="Arial" w:cs="Arial"/>
          <w:i w:val="0"/>
          <w:sz w:val="22"/>
        </w:rPr>
        <w:t>In the reasons for the decision the tribunal discusse</w:t>
      </w:r>
      <w:r w:rsidR="006D1906">
        <w:rPr>
          <w:rFonts w:ascii="Arial" w:hAnsi="Arial" w:cs="Arial"/>
          <w:i w:val="0"/>
          <w:sz w:val="22"/>
        </w:rPr>
        <w:t>d</w:t>
      </w:r>
      <w:r w:rsidRPr="002F3BB0">
        <w:rPr>
          <w:rFonts w:ascii="Arial" w:hAnsi="Arial" w:cs="Arial"/>
          <w:i w:val="0"/>
          <w:sz w:val="22"/>
        </w:rPr>
        <w:t xml:space="preserve"> the coping mechanisms and decisions of women subjected to unwanted sexual comments in a male dominated workplace.  Whilst the ideal course would be to make it clear the comments are unwanted and then if they continue to complain to management, the tribunal recognised that this is not always practical particularly if the employer is unlikely to be supportive, and if the making of unsubstantiated allegations is regarded as a disciplinary matter.  In this case the way of dealing with it was to go along with the banter to some extent and hide her true feelings in the belief she could cope with the harassment.  She was committed to her job and did not want to jeopardise it by reporting the sexual harassment.  In the end the woman could not cope and this resulted in greater damage to her.</w:t>
      </w:r>
    </w:p>
    <w:p w:rsidR="0028797A" w:rsidRPr="002F3BB0" w:rsidRDefault="0028797A" w:rsidP="00416245">
      <w:pPr>
        <w:spacing w:before="120" w:after="0" w:line="240" w:lineRule="auto"/>
        <w:ind w:left="284"/>
        <w:rPr>
          <w:rFonts w:ascii="Arial" w:hAnsi="Arial" w:cs="Arial"/>
          <w:i w:val="0"/>
          <w:sz w:val="22"/>
        </w:rPr>
      </w:pPr>
      <w:proofErr w:type="spellStart"/>
      <w:r w:rsidRPr="002F3BB0">
        <w:rPr>
          <w:rFonts w:ascii="Arial" w:hAnsi="Arial" w:cs="Arial"/>
          <w:sz w:val="22"/>
        </w:rPr>
        <w:t>Nunan</w:t>
      </w:r>
      <w:proofErr w:type="spellEnd"/>
      <w:r w:rsidRPr="002F3BB0">
        <w:rPr>
          <w:rFonts w:ascii="Arial" w:hAnsi="Arial" w:cs="Arial"/>
          <w:sz w:val="22"/>
        </w:rPr>
        <w:t xml:space="preserve"> v </w:t>
      </w:r>
      <w:proofErr w:type="spellStart"/>
      <w:r w:rsidRPr="002F3BB0">
        <w:rPr>
          <w:rFonts w:ascii="Arial" w:hAnsi="Arial" w:cs="Arial"/>
          <w:sz w:val="22"/>
        </w:rPr>
        <w:t>Aaction</w:t>
      </w:r>
      <w:proofErr w:type="spellEnd"/>
      <w:r w:rsidRPr="002F3BB0">
        <w:rPr>
          <w:rFonts w:ascii="Arial" w:hAnsi="Arial" w:cs="Arial"/>
          <w:sz w:val="22"/>
        </w:rPr>
        <w:t xml:space="preserve"> Traffic Services Pty Ltd</w:t>
      </w:r>
      <w:r w:rsidRPr="002F3BB0">
        <w:rPr>
          <w:rFonts w:ascii="Arial" w:hAnsi="Arial" w:cs="Arial"/>
          <w:i w:val="0"/>
          <w:sz w:val="22"/>
        </w:rPr>
        <w:t xml:space="preserve"> [2013] QCAT 565</w:t>
      </w:r>
    </w:p>
    <w:p w:rsidR="003D4AF2" w:rsidRPr="002F3BB0" w:rsidRDefault="003D4AF2" w:rsidP="00565444">
      <w:pPr>
        <w:pStyle w:val="Heading2"/>
        <w:rPr>
          <w:i/>
        </w:rPr>
      </w:pPr>
      <w:r w:rsidRPr="002F3BB0">
        <w:t>Exemption applications</w:t>
      </w:r>
    </w:p>
    <w:p w:rsidR="0028797A" w:rsidRPr="002F3BB0" w:rsidRDefault="0028797A" w:rsidP="00416245">
      <w:pPr>
        <w:spacing w:before="120" w:after="240" w:line="240" w:lineRule="auto"/>
        <w:ind w:left="284"/>
        <w:rPr>
          <w:rFonts w:ascii="Arial" w:hAnsi="Arial" w:cs="Arial"/>
          <w:i w:val="0"/>
          <w:sz w:val="22"/>
        </w:rPr>
      </w:pPr>
      <w:r w:rsidRPr="002F3BB0">
        <w:rPr>
          <w:rFonts w:ascii="Arial" w:hAnsi="Arial" w:cs="Arial"/>
          <w:i w:val="0"/>
          <w:sz w:val="22"/>
        </w:rPr>
        <w:t>During period the tribunal published nine decisions on applications for exemption from the operation of the Act.  Five exemptions were granted: two were for over 50s accommodation,</w:t>
      </w:r>
      <w:r w:rsidRPr="002F3BB0">
        <w:rPr>
          <w:rStyle w:val="FootnoteReference"/>
          <w:rFonts w:ascii="Arial" w:hAnsi="Arial" w:cs="Arial"/>
          <w:i w:val="0"/>
          <w:sz w:val="22"/>
        </w:rPr>
        <w:footnoteReference w:id="6"/>
      </w:r>
      <w:r w:rsidRPr="002F3BB0">
        <w:rPr>
          <w:rFonts w:ascii="Arial" w:hAnsi="Arial" w:cs="Arial"/>
          <w:i w:val="0"/>
          <w:sz w:val="22"/>
        </w:rPr>
        <w:t xml:space="preserve"> one was for a female only area in a fitness centre,</w:t>
      </w:r>
      <w:r w:rsidRPr="002F3BB0">
        <w:rPr>
          <w:rStyle w:val="FootnoteReference"/>
          <w:rFonts w:ascii="Arial" w:hAnsi="Arial" w:cs="Arial"/>
          <w:i w:val="0"/>
          <w:sz w:val="22"/>
        </w:rPr>
        <w:footnoteReference w:id="7"/>
      </w:r>
      <w:r w:rsidRPr="002F3BB0">
        <w:rPr>
          <w:rFonts w:ascii="Arial" w:hAnsi="Arial" w:cs="Arial"/>
          <w:i w:val="0"/>
          <w:sz w:val="22"/>
        </w:rPr>
        <w:t xml:space="preserve"> one was to recruit females at entry level positions to improve gender diversity at mining sites</w:t>
      </w:r>
      <w:r w:rsidRPr="002F3BB0">
        <w:rPr>
          <w:rStyle w:val="FootnoteReference"/>
          <w:rFonts w:ascii="Arial" w:hAnsi="Arial" w:cs="Arial"/>
          <w:i w:val="0"/>
          <w:sz w:val="22"/>
        </w:rPr>
        <w:footnoteReference w:id="8"/>
      </w:r>
      <w:r w:rsidRPr="002F3BB0">
        <w:rPr>
          <w:rFonts w:ascii="Arial" w:hAnsi="Arial" w:cs="Arial"/>
          <w:i w:val="0"/>
          <w:sz w:val="22"/>
        </w:rPr>
        <w:t>, and the other was to allow a regional council to recruit on the basis of relationship status due to limited housing availability and high rentals</w:t>
      </w:r>
      <w:r w:rsidRPr="002F3BB0">
        <w:rPr>
          <w:rStyle w:val="FootnoteReference"/>
          <w:rFonts w:ascii="Arial" w:hAnsi="Arial" w:cs="Arial"/>
          <w:i w:val="0"/>
          <w:sz w:val="22"/>
        </w:rPr>
        <w:footnoteReference w:id="9"/>
      </w:r>
      <w:r w:rsidR="009A4581">
        <w:rPr>
          <w:rFonts w:ascii="Arial" w:hAnsi="Arial" w:cs="Arial"/>
          <w:i w:val="0"/>
          <w:sz w:val="22"/>
        </w:rPr>
        <w:t>.</w:t>
      </w:r>
    </w:p>
    <w:p w:rsidR="0028797A" w:rsidRPr="002F3BB0" w:rsidRDefault="0028797A" w:rsidP="00416245">
      <w:pPr>
        <w:spacing w:before="120" w:after="240" w:line="240" w:lineRule="auto"/>
        <w:ind w:left="284"/>
        <w:rPr>
          <w:rFonts w:ascii="Arial" w:hAnsi="Arial" w:cs="Arial"/>
          <w:i w:val="0"/>
          <w:sz w:val="22"/>
        </w:rPr>
      </w:pPr>
      <w:r w:rsidRPr="002F3BB0">
        <w:rPr>
          <w:rFonts w:ascii="Arial" w:hAnsi="Arial" w:cs="Arial"/>
          <w:i w:val="0"/>
          <w:sz w:val="22"/>
        </w:rPr>
        <w:t>Of the four applications that were refused, all were considered not necessary, three because specific exemptions were available to the applicants</w:t>
      </w:r>
      <w:r w:rsidRPr="002F3BB0">
        <w:rPr>
          <w:rStyle w:val="FootnoteReference"/>
          <w:rFonts w:ascii="Arial" w:hAnsi="Arial" w:cs="Arial"/>
          <w:i w:val="0"/>
          <w:sz w:val="22"/>
        </w:rPr>
        <w:footnoteReference w:id="10"/>
      </w:r>
      <w:r w:rsidRPr="002F3BB0">
        <w:rPr>
          <w:rFonts w:ascii="Arial" w:hAnsi="Arial" w:cs="Arial"/>
          <w:i w:val="0"/>
          <w:sz w:val="22"/>
        </w:rPr>
        <w:t>, and in the other case the applicant had not established why it needed an exemption</w:t>
      </w:r>
      <w:r w:rsidRPr="002F3BB0">
        <w:rPr>
          <w:rStyle w:val="FootnoteReference"/>
          <w:rFonts w:ascii="Arial" w:hAnsi="Arial" w:cs="Arial"/>
          <w:i w:val="0"/>
          <w:sz w:val="22"/>
        </w:rPr>
        <w:footnoteReference w:id="11"/>
      </w:r>
      <w:r w:rsidRPr="002F3BB0">
        <w:rPr>
          <w:rFonts w:ascii="Arial" w:hAnsi="Arial" w:cs="Arial"/>
          <w:i w:val="0"/>
          <w:sz w:val="22"/>
        </w:rPr>
        <w:t>.</w:t>
      </w:r>
    </w:p>
    <w:p w:rsidR="0028797A" w:rsidRPr="002F3BB0" w:rsidRDefault="0028797A" w:rsidP="00416245">
      <w:pPr>
        <w:spacing w:before="120" w:after="0" w:line="240" w:lineRule="auto"/>
        <w:ind w:left="284"/>
        <w:rPr>
          <w:rFonts w:ascii="Arial" w:hAnsi="Arial" w:cs="Arial"/>
          <w:i w:val="0"/>
          <w:sz w:val="22"/>
        </w:rPr>
      </w:pPr>
      <w:r w:rsidRPr="002F3BB0">
        <w:rPr>
          <w:rFonts w:ascii="Arial" w:hAnsi="Arial" w:cs="Arial"/>
          <w:i w:val="0"/>
          <w:sz w:val="22"/>
        </w:rPr>
        <w:t>An applicant who was not granted an exemption in the previous period was refused leave to appeal the decision.  The Appeal Tribunal agreed that the specific exemption for equal employment opportunities was open to the applicant to allow it to target entry level recruitment of Indigenous people to work at mining sites.  Therefore an exemption by the tribunal was not necessary.</w:t>
      </w:r>
      <w:r w:rsidRPr="002F3BB0">
        <w:rPr>
          <w:rStyle w:val="FootnoteReference"/>
          <w:rFonts w:ascii="Arial" w:hAnsi="Arial" w:cs="Arial"/>
          <w:i w:val="0"/>
          <w:sz w:val="22"/>
        </w:rPr>
        <w:footnoteReference w:id="12"/>
      </w:r>
    </w:p>
    <w:p w:rsidR="0028797A" w:rsidRPr="00416245" w:rsidRDefault="0028797A" w:rsidP="00565444">
      <w:pPr>
        <w:pStyle w:val="Heading2"/>
        <w:rPr>
          <w:i/>
        </w:rPr>
      </w:pPr>
      <w:r w:rsidRPr="00416245">
        <w:t>Court of Appeal</w:t>
      </w:r>
    </w:p>
    <w:p w:rsidR="0028797A" w:rsidRPr="002F3BB0" w:rsidRDefault="0028797A" w:rsidP="00416245">
      <w:pPr>
        <w:spacing w:before="120" w:after="240" w:line="240" w:lineRule="auto"/>
        <w:ind w:left="284"/>
        <w:rPr>
          <w:rFonts w:ascii="Arial" w:hAnsi="Arial" w:cs="Arial"/>
          <w:i w:val="0"/>
          <w:sz w:val="22"/>
        </w:rPr>
      </w:pPr>
      <w:r w:rsidRPr="002F3BB0">
        <w:rPr>
          <w:rFonts w:ascii="Arial" w:hAnsi="Arial" w:cs="Arial"/>
          <w:i w:val="0"/>
          <w:sz w:val="22"/>
        </w:rPr>
        <w:t>A party to a decision of the Appeal Tribunal may appeal to the Court of Appeal (of the Supreme Court of Queensland), on a question of law and with the leave of the court.</w:t>
      </w:r>
    </w:p>
    <w:p w:rsidR="0028797A" w:rsidRPr="002F3BB0" w:rsidRDefault="0028797A" w:rsidP="00416245">
      <w:pPr>
        <w:spacing w:before="120" w:after="240" w:line="240" w:lineRule="auto"/>
        <w:ind w:left="284"/>
        <w:rPr>
          <w:rFonts w:ascii="Arial" w:hAnsi="Arial" w:cs="Arial"/>
          <w:i w:val="0"/>
          <w:sz w:val="22"/>
        </w:rPr>
      </w:pPr>
      <w:r w:rsidRPr="002F3BB0">
        <w:rPr>
          <w:rFonts w:ascii="Arial" w:hAnsi="Arial" w:cs="Arial"/>
          <w:i w:val="0"/>
          <w:sz w:val="22"/>
        </w:rPr>
        <w:lastRenderedPageBreak/>
        <w:t>The Court of Appeal delivered an important decision on the interpretation and application of the genuine occupational requirement exemption in section 25 of the Act.</w:t>
      </w:r>
    </w:p>
    <w:p w:rsidR="0028797A" w:rsidRPr="00BD357E" w:rsidRDefault="0028797A" w:rsidP="00565444">
      <w:pPr>
        <w:pStyle w:val="Heading3"/>
      </w:pPr>
      <w:r w:rsidRPr="00BD357E">
        <w:t>Working nightshift as a genuine occupational requirement</w:t>
      </w:r>
    </w:p>
    <w:p w:rsidR="0028797A" w:rsidRPr="002F3BB0" w:rsidRDefault="006D1906" w:rsidP="00416245">
      <w:pPr>
        <w:spacing w:before="120" w:after="240" w:line="240" w:lineRule="auto"/>
        <w:ind w:left="284"/>
        <w:rPr>
          <w:rFonts w:ascii="Arial" w:hAnsi="Arial" w:cs="Arial"/>
          <w:i w:val="0"/>
          <w:sz w:val="22"/>
        </w:rPr>
      </w:pPr>
      <w:r>
        <w:rPr>
          <w:rFonts w:ascii="Arial" w:hAnsi="Arial" w:cs="Arial"/>
          <w:i w:val="0"/>
          <w:sz w:val="22"/>
        </w:rPr>
        <w:t>After a s</w:t>
      </w:r>
      <w:r w:rsidR="0028797A" w:rsidRPr="002F3BB0">
        <w:rPr>
          <w:rFonts w:ascii="Arial" w:hAnsi="Arial" w:cs="Arial"/>
          <w:i w:val="0"/>
          <w:sz w:val="22"/>
        </w:rPr>
        <w:t xml:space="preserve">tate public hospital continued to extend the probation period for a graduate nurse because she was unable to complete night shifts due to headaches and nausea from a previous head injury, the nurse resigned.  She complained of unlawful discrimination and at first instance the tribunal found there was indirect discrimination and that the requirement to work across all shifts was not a genuine occupational requirement.  On appeal the Appeal Tribunal found that there had been an error of law in failing to find that the genuine occupational requirement exemption in section 25 of the </w:t>
      </w:r>
      <w:r w:rsidR="0028797A" w:rsidRPr="002F3BB0">
        <w:rPr>
          <w:rFonts w:ascii="Arial" w:hAnsi="Arial" w:cs="Arial"/>
          <w:sz w:val="22"/>
        </w:rPr>
        <w:t>Anti-Discrimination Act 1991</w:t>
      </w:r>
      <w:r w:rsidR="0028797A" w:rsidRPr="002F3BB0">
        <w:rPr>
          <w:rFonts w:ascii="Arial" w:hAnsi="Arial" w:cs="Arial"/>
          <w:i w:val="0"/>
          <w:sz w:val="22"/>
        </w:rPr>
        <w:t xml:space="preserve"> applied, and the decision was overturned.  The nurse then appealed to the Court of Appeal of the Supreme Court.</w:t>
      </w:r>
    </w:p>
    <w:p w:rsidR="0028797A" w:rsidRPr="002F3BB0" w:rsidRDefault="0028797A" w:rsidP="00416245">
      <w:pPr>
        <w:spacing w:before="120" w:after="240" w:line="240" w:lineRule="auto"/>
        <w:ind w:left="284"/>
        <w:rPr>
          <w:rFonts w:ascii="Arial" w:hAnsi="Arial" w:cs="Arial"/>
          <w:i w:val="0"/>
          <w:sz w:val="22"/>
        </w:rPr>
      </w:pPr>
      <w:r w:rsidRPr="002F3BB0">
        <w:rPr>
          <w:rFonts w:ascii="Arial" w:hAnsi="Arial" w:cs="Arial"/>
          <w:i w:val="0"/>
          <w:sz w:val="22"/>
        </w:rPr>
        <w:t>The expression ‘genuine occupational requirement’ is not defined in the Act, nor does the Act list the facts or circumstances that must or may be taken into account in determining whether a requirement is a genuine occupational requirement.  The Court referred to decisions of the High Court of Australia involving the interpretation of the expression ‘inherent requirements’ of employment used in federal industrial relations and anti-discrimination legislation.</w:t>
      </w:r>
      <w:r w:rsidRPr="002F3BB0">
        <w:rPr>
          <w:rStyle w:val="FootnoteReference"/>
          <w:rFonts w:ascii="Arial" w:hAnsi="Arial" w:cs="Arial"/>
          <w:i w:val="0"/>
          <w:sz w:val="22"/>
        </w:rPr>
        <w:footnoteReference w:id="13"/>
      </w:r>
      <w:r w:rsidRPr="002F3BB0">
        <w:rPr>
          <w:rFonts w:ascii="Arial" w:hAnsi="Arial" w:cs="Arial"/>
          <w:i w:val="0"/>
          <w:sz w:val="22"/>
        </w:rPr>
        <w:t xml:space="preserve">  Consistent with those authorities, limiting the frame of reference for identifying the genuine occupational requirements of the position to the physical tasks and functions would be an error.  In this case it was of particular relevance that nursing functions were to be performed in an undertaking in which the roster system for 24/7 wards was central.  In order to provide the 24/7 hospital services to patients it was necessary for employed nurses to be rostered to work on shifts, and that in order for shifts to be allocated equitably, all employed nurses were required to participate in any of the three shift periods as required.  The fact that a small number of temporary accommodations were made from time to time did not detract from the essential nature of the requirement to work across all shifts.</w:t>
      </w:r>
    </w:p>
    <w:p w:rsidR="0028797A" w:rsidRPr="002F3BB0" w:rsidRDefault="0028797A" w:rsidP="00416245">
      <w:pPr>
        <w:spacing w:before="120" w:after="240" w:line="240" w:lineRule="auto"/>
        <w:ind w:left="284"/>
        <w:rPr>
          <w:rFonts w:ascii="Arial" w:hAnsi="Arial" w:cs="Arial"/>
          <w:i w:val="0"/>
          <w:sz w:val="22"/>
        </w:rPr>
      </w:pPr>
      <w:r w:rsidRPr="002F3BB0">
        <w:rPr>
          <w:rFonts w:ascii="Arial" w:hAnsi="Arial" w:cs="Arial"/>
          <w:i w:val="0"/>
          <w:sz w:val="22"/>
        </w:rPr>
        <w:t>The Court agreed with the presiding member of the Appeal Tribunal that the respondent had discharged its onus of showing that the genuine occupational requirement exemption in section 25 applied to this case.</w:t>
      </w:r>
    </w:p>
    <w:p w:rsidR="0028797A" w:rsidRPr="00D87458" w:rsidRDefault="00D87458" w:rsidP="0028797A">
      <w:pPr>
        <w:spacing w:before="120" w:after="240"/>
        <w:ind w:left="284"/>
        <w:rPr>
          <w:rFonts w:ascii="Arial" w:hAnsi="Arial" w:cs="Arial"/>
          <w:i w:val="0"/>
          <w:sz w:val="22"/>
        </w:rPr>
      </w:pPr>
      <w:proofErr w:type="spellStart"/>
      <w:proofErr w:type="gramStart"/>
      <w:r w:rsidRPr="00D87458">
        <w:rPr>
          <w:rFonts w:ascii="Arial" w:hAnsi="Arial" w:cs="Arial"/>
          <w:sz w:val="22"/>
        </w:rPr>
        <w:t>Chivers</w:t>
      </w:r>
      <w:proofErr w:type="spellEnd"/>
      <w:proofErr w:type="gramEnd"/>
      <w:r w:rsidRPr="00D87458">
        <w:rPr>
          <w:rFonts w:ascii="Arial" w:hAnsi="Arial" w:cs="Arial"/>
          <w:sz w:val="22"/>
        </w:rPr>
        <w:t xml:space="preserve"> v State of Queensland</w:t>
      </w:r>
      <w:r w:rsidRPr="00D87458">
        <w:rPr>
          <w:rFonts w:ascii="Arial" w:hAnsi="Arial" w:cs="Arial"/>
          <w:i w:val="0"/>
          <w:sz w:val="22"/>
        </w:rPr>
        <w:t xml:space="preserve"> [2014] QCA 141</w:t>
      </w:r>
      <w:r>
        <w:rPr>
          <w:rFonts w:ascii="Arial" w:hAnsi="Arial" w:cs="Arial"/>
          <w:i w:val="0"/>
          <w:sz w:val="22"/>
        </w:rPr>
        <w:t>.</w:t>
      </w:r>
    </w:p>
    <w:p w:rsidR="0028797A" w:rsidRPr="002F3BB0" w:rsidRDefault="0028797A" w:rsidP="00913774">
      <w:pPr>
        <w:spacing w:before="240" w:after="120" w:line="240" w:lineRule="auto"/>
        <w:rPr>
          <w:rFonts w:cstheme="minorHAnsi"/>
          <w:b/>
          <w:i w:val="0"/>
          <w:sz w:val="22"/>
          <w:szCs w:val="22"/>
        </w:rPr>
      </w:pPr>
    </w:p>
    <w:p w:rsidR="00E371F5" w:rsidRPr="002F3BB0" w:rsidRDefault="00E371F5" w:rsidP="00F155D5">
      <w:pPr>
        <w:pStyle w:val="Heading1"/>
        <w:pageBreakBefore/>
        <w:rPr>
          <w:rFonts w:asciiTheme="minorHAnsi" w:eastAsia="Times New Roman" w:hAnsiTheme="minorHAnsi" w:cstheme="minorHAnsi"/>
          <w:i w:val="0"/>
          <w:color w:val="auto"/>
          <w:lang w:eastAsia="en-AU"/>
        </w:rPr>
      </w:pPr>
      <w:bookmarkStart w:id="27" w:name="_Toc366487305"/>
      <w:bookmarkStart w:id="28" w:name="_Toc397345684"/>
      <w:r w:rsidRPr="002F3BB0">
        <w:rPr>
          <w:rFonts w:asciiTheme="minorHAnsi" w:eastAsia="Times New Roman" w:hAnsiTheme="minorHAnsi" w:cstheme="minorHAnsi"/>
          <w:i w:val="0"/>
          <w:color w:val="auto"/>
          <w:lang w:eastAsia="en-AU"/>
        </w:rPr>
        <w:lastRenderedPageBreak/>
        <w:t>Corporate governance</w:t>
      </w:r>
      <w:bookmarkEnd w:id="27"/>
      <w:bookmarkEnd w:id="28"/>
    </w:p>
    <w:p w:rsidR="00F55346" w:rsidRPr="002F3BB0" w:rsidRDefault="00F55346" w:rsidP="004209D7">
      <w:pPr>
        <w:spacing w:before="120" w:after="240" w:line="240" w:lineRule="auto"/>
        <w:rPr>
          <w:rFonts w:ascii="Arial" w:hAnsi="Arial" w:cs="Arial"/>
          <w:bCs/>
          <w:sz w:val="22"/>
          <w:szCs w:val="22"/>
        </w:rPr>
      </w:pPr>
      <w:bookmarkStart w:id="29" w:name="_Toc240787694"/>
      <w:bookmarkStart w:id="30" w:name="_Toc243284321"/>
      <w:r w:rsidRPr="002F3BB0">
        <w:rPr>
          <w:rFonts w:ascii="Arial" w:hAnsi="Arial" w:cs="Arial"/>
          <w:sz w:val="22"/>
          <w:szCs w:val="22"/>
        </w:rPr>
        <w:t>Corporate governance is the manner in which an organisation is controlled and governed in order to achieve its strategic goals and operational objectives. It is the cornerstone of sound stewardship and effective management.</w:t>
      </w:r>
    </w:p>
    <w:p w:rsidR="00F55346" w:rsidRPr="002F3BB0" w:rsidRDefault="00F55346" w:rsidP="004209D7">
      <w:pPr>
        <w:spacing w:before="120" w:after="0" w:line="240" w:lineRule="auto"/>
        <w:rPr>
          <w:rFonts w:ascii="Arial" w:hAnsi="Arial" w:cs="Arial"/>
          <w:bCs/>
          <w:sz w:val="22"/>
          <w:szCs w:val="22"/>
        </w:rPr>
      </w:pPr>
      <w:proofErr w:type="gramStart"/>
      <w:r w:rsidRPr="002F3BB0">
        <w:rPr>
          <w:rFonts w:ascii="Arial" w:hAnsi="Arial" w:cs="Arial"/>
          <w:bCs/>
          <w:sz w:val="22"/>
          <w:szCs w:val="22"/>
        </w:rPr>
        <w:t>Queensland Audit Office, 1999.</w:t>
      </w:r>
      <w:proofErr w:type="gramEnd"/>
    </w:p>
    <w:p w:rsidR="00F55346" w:rsidRPr="002F3BB0" w:rsidRDefault="00C9506D" w:rsidP="00565444">
      <w:pPr>
        <w:pStyle w:val="Heading2"/>
        <w:rPr>
          <w:i/>
        </w:rPr>
      </w:pPr>
      <w:r w:rsidRPr="002F3BB0">
        <w:t>Governance framework</w:t>
      </w:r>
      <w:bookmarkEnd w:id="29"/>
      <w:bookmarkEnd w:id="30"/>
      <w:r w:rsidRPr="002F3BB0">
        <w:t xml:space="preserve"> </w:t>
      </w:r>
      <w:bookmarkStart w:id="31" w:name="_Toc240787695"/>
      <w:bookmarkStart w:id="32" w:name="_Toc243284322"/>
    </w:p>
    <w:p w:rsidR="00F55346" w:rsidRPr="002F3BB0" w:rsidRDefault="00F55346" w:rsidP="0019492F">
      <w:pPr>
        <w:spacing w:before="120" w:after="120" w:line="240" w:lineRule="auto"/>
        <w:rPr>
          <w:rFonts w:ascii="Arial" w:hAnsi="Arial" w:cs="Arial"/>
          <w:i w:val="0"/>
          <w:sz w:val="22"/>
          <w:szCs w:val="22"/>
        </w:rPr>
      </w:pPr>
      <w:r w:rsidRPr="002F3BB0">
        <w:rPr>
          <w:rFonts w:ascii="Arial" w:hAnsi="Arial" w:cs="Arial"/>
          <w:i w:val="0"/>
          <w:sz w:val="22"/>
          <w:szCs w:val="22"/>
        </w:rPr>
        <w:t>The ADCQ’s governance framework supports transparent, accountable decision-making by establishing clear lines of authority and requiring monitoring and reporting of operational performance. It is the mechanism through which our strategic goals can be achieved and is based on the following principles:</w:t>
      </w:r>
    </w:p>
    <w:p w:rsidR="00F55346" w:rsidRPr="00CB60DB" w:rsidRDefault="00F55346" w:rsidP="00CB60DB">
      <w:pPr>
        <w:numPr>
          <w:ilvl w:val="0"/>
          <w:numId w:val="13"/>
        </w:numPr>
        <w:spacing w:before="120" w:after="0" w:line="240" w:lineRule="auto"/>
        <w:ind w:left="357" w:hanging="357"/>
        <w:rPr>
          <w:rFonts w:eastAsia="Times New Roman" w:cstheme="minorHAnsi"/>
          <w:i w:val="0"/>
          <w:sz w:val="22"/>
          <w:szCs w:val="22"/>
          <w:lang w:eastAsia="en-AU"/>
        </w:rPr>
      </w:pPr>
      <w:r w:rsidRPr="00CB60DB">
        <w:rPr>
          <w:rFonts w:eastAsia="Times New Roman" w:cstheme="minorHAnsi"/>
          <w:i w:val="0"/>
          <w:sz w:val="22"/>
          <w:szCs w:val="22"/>
          <w:lang w:eastAsia="en-AU"/>
        </w:rPr>
        <w:t>effective vision, leadership, and strategic direction;</w:t>
      </w:r>
    </w:p>
    <w:p w:rsidR="00F55346" w:rsidRPr="00CB60DB" w:rsidRDefault="00F55346" w:rsidP="00CB60DB">
      <w:pPr>
        <w:numPr>
          <w:ilvl w:val="0"/>
          <w:numId w:val="13"/>
        </w:numPr>
        <w:spacing w:before="120" w:after="0" w:line="240" w:lineRule="auto"/>
        <w:ind w:left="357" w:hanging="357"/>
        <w:rPr>
          <w:rFonts w:eastAsia="Times New Roman" w:cstheme="minorHAnsi"/>
          <w:i w:val="0"/>
          <w:sz w:val="22"/>
          <w:szCs w:val="22"/>
          <w:lang w:eastAsia="en-AU"/>
        </w:rPr>
      </w:pPr>
      <w:r w:rsidRPr="00CB60DB">
        <w:rPr>
          <w:rFonts w:eastAsia="Times New Roman" w:cstheme="minorHAnsi"/>
          <w:i w:val="0"/>
          <w:sz w:val="22"/>
          <w:szCs w:val="22"/>
          <w:lang w:eastAsia="en-AU"/>
        </w:rPr>
        <w:t>transparency and disclosure of decision-making processes;</w:t>
      </w:r>
    </w:p>
    <w:p w:rsidR="00F55346" w:rsidRPr="00CB60DB" w:rsidRDefault="00F55346" w:rsidP="00CB60DB">
      <w:pPr>
        <w:numPr>
          <w:ilvl w:val="0"/>
          <w:numId w:val="13"/>
        </w:numPr>
        <w:spacing w:before="120" w:after="0" w:line="240" w:lineRule="auto"/>
        <w:ind w:left="357" w:hanging="357"/>
        <w:rPr>
          <w:rFonts w:eastAsia="Times New Roman" w:cstheme="minorHAnsi"/>
          <w:i w:val="0"/>
          <w:sz w:val="22"/>
          <w:szCs w:val="22"/>
          <w:lang w:eastAsia="en-AU"/>
        </w:rPr>
      </w:pPr>
      <w:r w:rsidRPr="00CB60DB">
        <w:rPr>
          <w:rFonts w:eastAsia="Times New Roman" w:cstheme="minorHAnsi"/>
          <w:i w:val="0"/>
          <w:sz w:val="22"/>
          <w:szCs w:val="22"/>
          <w:lang w:eastAsia="en-AU"/>
        </w:rPr>
        <w:t>clear lines of responsibility and accountability;</w:t>
      </w:r>
      <w:r w:rsidR="00D87458">
        <w:rPr>
          <w:rFonts w:eastAsia="Times New Roman" w:cstheme="minorHAnsi"/>
          <w:i w:val="0"/>
          <w:sz w:val="22"/>
          <w:szCs w:val="22"/>
          <w:lang w:eastAsia="en-AU"/>
        </w:rPr>
        <w:t xml:space="preserve"> and</w:t>
      </w:r>
    </w:p>
    <w:p w:rsidR="00F55346" w:rsidRPr="00CB60DB" w:rsidRDefault="00F55346" w:rsidP="00CB60DB">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CB60DB">
        <w:rPr>
          <w:rFonts w:eastAsia="Times New Roman" w:cstheme="minorHAnsi"/>
          <w:i w:val="0"/>
          <w:sz w:val="22"/>
          <w:szCs w:val="22"/>
          <w:lang w:eastAsia="en-AU"/>
        </w:rPr>
        <w:t>participation</w:t>
      </w:r>
      <w:proofErr w:type="gramEnd"/>
      <w:r w:rsidRPr="00CB60DB">
        <w:rPr>
          <w:rFonts w:eastAsia="Times New Roman" w:cstheme="minorHAnsi"/>
          <w:i w:val="0"/>
          <w:sz w:val="22"/>
          <w:szCs w:val="22"/>
          <w:lang w:eastAsia="en-AU"/>
        </w:rPr>
        <w:t xml:space="preserve"> in the governance process by employees.</w:t>
      </w:r>
    </w:p>
    <w:p w:rsidR="00F55346" w:rsidRPr="002F3BB0" w:rsidRDefault="00F55346" w:rsidP="0019492F">
      <w:pPr>
        <w:spacing w:before="240" w:after="120" w:line="240" w:lineRule="auto"/>
        <w:rPr>
          <w:rFonts w:ascii="Arial" w:hAnsi="Arial" w:cs="Arial"/>
          <w:i w:val="0"/>
          <w:sz w:val="22"/>
          <w:szCs w:val="22"/>
        </w:rPr>
      </w:pPr>
      <w:r w:rsidRPr="002F3BB0">
        <w:rPr>
          <w:rFonts w:ascii="Arial" w:hAnsi="Arial" w:cs="Arial"/>
          <w:i w:val="0"/>
          <w:sz w:val="22"/>
          <w:szCs w:val="22"/>
        </w:rPr>
        <w:t>These principles ensure that the ADCQ maintains its focus on:</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meeting its statutory responsibilities under the Act;</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effective and efficient performance management;</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improving service delivery through a process of engagement with key stakeholders;</w:t>
      </w:r>
      <w:r w:rsidR="00D87458">
        <w:rPr>
          <w:rFonts w:eastAsia="Times New Roman" w:cstheme="minorHAnsi"/>
          <w:i w:val="0"/>
          <w:sz w:val="22"/>
          <w:szCs w:val="22"/>
          <w:lang w:eastAsia="en-AU"/>
        </w:rPr>
        <w:t xml:space="preserve"> and</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19492F">
        <w:rPr>
          <w:rFonts w:eastAsia="Times New Roman" w:cstheme="minorHAnsi"/>
          <w:i w:val="0"/>
          <w:sz w:val="22"/>
          <w:szCs w:val="22"/>
          <w:lang w:eastAsia="en-AU"/>
        </w:rPr>
        <w:t>reporting</w:t>
      </w:r>
      <w:proofErr w:type="gramEnd"/>
      <w:r w:rsidRPr="0019492F">
        <w:rPr>
          <w:rFonts w:eastAsia="Times New Roman" w:cstheme="minorHAnsi"/>
          <w:i w:val="0"/>
          <w:sz w:val="22"/>
          <w:szCs w:val="22"/>
          <w:lang w:eastAsia="en-AU"/>
        </w:rPr>
        <w:t xml:space="preserve"> on performance.</w:t>
      </w:r>
    </w:p>
    <w:p w:rsidR="00F55346" w:rsidRPr="002F3BB0" w:rsidRDefault="00F55346" w:rsidP="0019492F">
      <w:pPr>
        <w:spacing w:before="240" w:after="120" w:line="240" w:lineRule="auto"/>
        <w:rPr>
          <w:rFonts w:ascii="Arial" w:hAnsi="Arial" w:cs="Arial"/>
          <w:i w:val="0"/>
          <w:sz w:val="22"/>
          <w:szCs w:val="22"/>
        </w:rPr>
      </w:pPr>
      <w:r w:rsidRPr="002F3BB0">
        <w:rPr>
          <w:rFonts w:ascii="Arial" w:hAnsi="Arial" w:cs="Arial"/>
          <w:i w:val="0"/>
          <w:sz w:val="22"/>
          <w:szCs w:val="22"/>
        </w:rPr>
        <w:t xml:space="preserve">While the ADCQ is independent of government, it is accountable to the Queensland Parliament through the Attorney-General and Minister for Justice. </w:t>
      </w:r>
    </w:p>
    <w:p w:rsidR="00C9506D" w:rsidRPr="002F3BB0" w:rsidRDefault="00C9506D" w:rsidP="00565444">
      <w:pPr>
        <w:pStyle w:val="Heading2"/>
        <w:rPr>
          <w:i/>
        </w:rPr>
      </w:pPr>
      <w:r w:rsidRPr="002F3BB0">
        <w:t xml:space="preserve">Managing </w:t>
      </w:r>
      <w:bookmarkEnd w:id="31"/>
      <w:r w:rsidRPr="002F3BB0">
        <w:t>the ADCQ</w:t>
      </w:r>
      <w:bookmarkEnd w:id="32"/>
    </w:p>
    <w:p w:rsidR="00F55346" w:rsidRPr="002F3BB0" w:rsidRDefault="00F55346" w:rsidP="0019492F">
      <w:pPr>
        <w:spacing w:before="120" w:after="240" w:line="240" w:lineRule="auto"/>
        <w:rPr>
          <w:rFonts w:ascii="Arial" w:hAnsi="Arial" w:cs="Arial"/>
          <w:i w:val="0"/>
          <w:sz w:val="22"/>
          <w:szCs w:val="22"/>
        </w:rPr>
      </w:pPr>
      <w:r w:rsidRPr="002F3BB0">
        <w:rPr>
          <w:rFonts w:ascii="Arial" w:hAnsi="Arial" w:cs="Arial"/>
          <w:i w:val="0"/>
          <w:sz w:val="22"/>
          <w:szCs w:val="22"/>
        </w:rPr>
        <w:t xml:space="preserve">Accountability for the ADCQ’s operations under the </w:t>
      </w:r>
      <w:r w:rsidRPr="002F3BB0">
        <w:rPr>
          <w:rFonts w:ascii="Arial" w:hAnsi="Arial" w:cs="Arial"/>
          <w:sz w:val="22"/>
          <w:szCs w:val="22"/>
        </w:rPr>
        <w:t>Financial Accountability Act 2009</w:t>
      </w:r>
      <w:r w:rsidRPr="002F3BB0">
        <w:rPr>
          <w:rFonts w:ascii="Arial" w:hAnsi="Arial" w:cs="Arial"/>
          <w:i w:val="0"/>
          <w:sz w:val="22"/>
          <w:szCs w:val="22"/>
        </w:rPr>
        <w:t xml:space="preserve"> resides solely with the Commissioner as the Accou</w:t>
      </w:r>
      <w:r w:rsidR="009A4581">
        <w:rPr>
          <w:rFonts w:ascii="Arial" w:hAnsi="Arial" w:cs="Arial"/>
          <w:i w:val="0"/>
          <w:sz w:val="22"/>
          <w:szCs w:val="22"/>
        </w:rPr>
        <w:t>ntable Officer.</w:t>
      </w:r>
    </w:p>
    <w:p w:rsidR="00F55346" w:rsidRPr="002F3BB0" w:rsidRDefault="00F55346" w:rsidP="0019492F">
      <w:pPr>
        <w:spacing w:before="120" w:after="240" w:line="240" w:lineRule="auto"/>
        <w:rPr>
          <w:rFonts w:ascii="Arial" w:hAnsi="Arial" w:cs="Arial"/>
          <w:i w:val="0"/>
          <w:sz w:val="22"/>
          <w:szCs w:val="22"/>
        </w:rPr>
      </w:pPr>
      <w:r w:rsidRPr="002F3BB0">
        <w:rPr>
          <w:rFonts w:ascii="Arial" w:hAnsi="Arial" w:cs="Arial"/>
          <w:i w:val="0"/>
          <w:sz w:val="22"/>
          <w:szCs w:val="22"/>
        </w:rPr>
        <w:t xml:space="preserve">The Commissioner is appointed under section 238 of the </w:t>
      </w:r>
      <w:r w:rsidRPr="002F3BB0">
        <w:rPr>
          <w:rFonts w:ascii="Arial" w:hAnsi="Arial" w:cs="Arial"/>
          <w:sz w:val="22"/>
          <w:szCs w:val="22"/>
        </w:rPr>
        <w:t>Anti-Discrimination Act 1991</w:t>
      </w:r>
      <w:r w:rsidRPr="002F3BB0">
        <w:rPr>
          <w:rFonts w:ascii="Arial" w:hAnsi="Arial" w:cs="Arial"/>
          <w:i w:val="0"/>
          <w:sz w:val="22"/>
          <w:szCs w:val="22"/>
        </w:rPr>
        <w:t xml:space="preserve"> for a term of no longer than seven years. ADCQ employees are appointed under the </w:t>
      </w:r>
      <w:r w:rsidRPr="002F3BB0">
        <w:rPr>
          <w:rFonts w:ascii="Arial" w:hAnsi="Arial" w:cs="Arial"/>
          <w:sz w:val="22"/>
          <w:szCs w:val="22"/>
        </w:rPr>
        <w:t>Public Service Act 2008</w:t>
      </w:r>
      <w:r w:rsidRPr="002F3BB0">
        <w:rPr>
          <w:rFonts w:ascii="Arial" w:hAnsi="Arial" w:cs="Arial"/>
          <w:i w:val="0"/>
          <w:sz w:val="22"/>
          <w:szCs w:val="22"/>
        </w:rPr>
        <w:t>.</w:t>
      </w:r>
    </w:p>
    <w:p w:rsidR="00F55346" w:rsidRPr="002F3BB0" w:rsidRDefault="00F55346" w:rsidP="0019492F">
      <w:pPr>
        <w:spacing w:before="120" w:after="240" w:line="240" w:lineRule="auto"/>
        <w:rPr>
          <w:rFonts w:ascii="Arial" w:hAnsi="Arial" w:cs="Arial"/>
          <w:i w:val="0"/>
          <w:sz w:val="22"/>
          <w:szCs w:val="22"/>
        </w:rPr>
      </w:pPr>
      <w:r w:rsidRPr="002F3BB0">
        <w:rPr>
          <w:rFonts w:ascii="Arial" w:hAnsi="Arial" w:cs="Arial"/>
          <w:i w:val="0"/>
          <w:sz w:val="22"/>
          <w:szCs w:val="22"/>
        </w:rPr>
        <w:t>Two committees have been established to support the Commissioner in achieving the strategic goals and operational objectives of the ADCQ. They are the Executive Leadership Team (ELT) and the Leadership Group.</w:t>
      </w:r>
    </w:p>
    <w:p w:rsidR="00F55346" w:rsidRPr="002F3BB0" w:rsidRDefault="00F55346" w:rsidP="0019492F">
      <w:pPr>
        <w:autoSpaceDE w:val="0"/>
        <w:autoSpaceDN w:val="0"/>
        <w:adjustRightInd w:val="0"/>
        <w:spacing w:before="120" w:after="0" w:line="240" w:lineRule="auto"/>
        <w:rPr>
          <w:rFonts w:ascii="Arial" w:hAnsi="Arial" w:cs="Arial"/>
          <w:i w:val="0"/>
          <w:sz w:val="22"/>
          <w:szCs w:val="22"/>
          <w:lang w:val="en-US"/>
        </w:rPr>
      </w:pPr>
      <w:r w:rsidRPr="002F3BB0">
        <w:rPr>
          <w:rFonts w:ascii="Arial" w:hAnsi="Arial" w:cs="Arial"/>
          <w:i w:val="0"/>
          <w:sz w:val="22"/>
          <w:szCs w:val="22"/>
          <w:lang w:val="en-US"/>
        </w:rPr>
        <w:t xml:space="preserve">The ELT </w:t>
      </w:r>
      <w:r w:rsidRPr="002F3BB0">
        <w:rPr>
          <w:rFonts w:ascii="Arial" w:hAnsi="Arial" w:cs="Arial"/>
          <w:i w:val="0"/>
          <w:color w:val="000000"/>
          <w:sz w:val="22"/>
          <w:szCs w:val="22"/>
          <w:lang w:val="en-US"/>
        </w:rPr>
        <w:t xml:space="preserve">supports the Commissioner by </w:t>
      </w:r>
      <w:r w:rsidRPr="002F3BB0">
        <w:rPr>
          <w:rFonts w:ascii="Arial" w:hAnsi="Arial" w:cs="Arial"/>
          <w:i w:val="0"/>
          <w:sz w:val="22"/>
          <w:szCs w:val="22"/>
          <w:lang w:val="en-US"/>
        </w:rPr>
        <w:t>providing advice in the following areas:</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establishing prior</w:t>
      </w:r>
      <w:r w:rsidR="009A4581" w:rsidRPr="0019492F">
        <w:rPr>
          <w:rFonts w:eastAsia="Times New Roman" w:cstheme="minorHAnsi"/>
          <w:i w:val="0"/>
          <w:sz w:val="22"/>
          <w:szCs w:val="22"/>
          <w:lang w:eastAsia="en-AU"/>
        </w:rPr>
        <w:t>ities;</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developing an overarching fiscal strategy;</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maintaining the corporate governance framework;</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overseeing major initiatives and projects;</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managing external relationships;</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setting corporate performance objectives;</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fostering an appropriate corporate culture that supports the Commission’s values and code of conduct;</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ensuring business continuity;</w:t>
      </w:r>
      <w:r w:rsidR="00D87458">
        <w:rPr>
          <w:rFonts w:eastAsia="Times New Roman" w:cstheme="minorHAnsi"/>
          <w:i w:val="0"/>
          <w:sz w:val="22"/>
          <w:szCs w:val="22"/>
          <w:lang w:eastAsia="en-AU"/>
        </w:rPr>
        <w:t xml:space="preserve"> and</w:t>
      </w:r>
    </w:p>
    <w:p w:rsidR="00F55346" w:rsidRPr="002F3BB0" w:rsidRDefault="00F55346" w:rsidP="0019492F">
      <w:pPr>
        <w:numPr>
          <w:ilvl w:val="0"/>
          <w:numId w:val="13"/>
        </w:numPr>
        <w:spacing w:before="120" w:after="0" w:line="240" w:lineRule="auto"/>
        <w:ind w:left="357" w:hanging="357"/>
        <w:rPr>
          <w:rFonts w:ascii="Arial" w:hAnsi="Arial" w:cs="Arial"/>
          <w:i w:val="0"/>
          <w:sz w:val="22"/>
          <w:szCs w:val="22"/>
        </w:rPr>
      </w:pPr>
      <w:proofErr w:type="gramStart"/>
      <w:r w:rsidRPr="0019492F">
        <w:rPr>
          <w:rFonts w:eastAsia="Times New Roman" w:cstheme="minorHAnsi"/>
          <w:i w:val="0"/>
          <w:sz w:val="22"/>
          <w:szCs w:val="22"/>
          <w:lang w:eastAsia="en-AU"/>
        </w:rPr>
        <w:lastRenderedPageBreak/>
        <w:t>providing</w:t>
      </w:r>
      <w:proofErr w:type="gramEnd"/>
      <w:r w:rsidRPr="0019492F">
        <w:rPr>
          <w:rFonts w:eastAsia="Times New Roman" w:cstheme="minorHAnsi"/>
          <w:i w:val="0"/>
          <w:sz w:val="22"/>
          <w:szCs w:val="22"/>
          <w:lang w:eastAsia="en-AU"/>
        </w:rPr>
        <w:t xml:space="preserve"> the</w:t>
      </w:r>
      <w:r w:rsidRPr="002F3BB0">
        <w:rPr>
          <w:rFonts w:ascii="Arial" w:hAnsi="Arial" w:cs="Arial"/>
          <w:i w:val="0"/>
          <w:sz w:val="22"/>
          <w:szCs w:val="22"/>
        </w:rPr>
        <w:t xml:space="preserve"> strategic focus for corporate communications and marketing.</w:t>
      </w:r>
    </w:p>
    <w:p w:rsidR="00F55346" w:rsidRPr="002F3BB0" w:rsidRDefault="00F55346" w:rsidP="0019492F">
      <w:pPr>
        <w:spacing w:before="240" w:after="120" w:line="240" w:lineRule="auto"/>
        <w:rPr>
          <w:rFonts w:ascii="Arial" w:hAnsi="Arial" w:cs="Arial"/>
          <w:i w:val="0"/>
          <w:sz w:val="22"/>
          <w:szCs w:val="22"/>
          <w:lang w:val="en-US"/>
        </w:rPr>
      </w:pPr>
      <w:r w:rsidRPr="002F3BB0">
        <w:rPr>
          <w:rFonts w:ascii="Arial" w:hAnsi="Arial" w:cs="Arial"/>
          <w:i w:val="0"/>
          <w:sz w:val="22"/>
          <w:szCs w:val="22"/>
          <w:lang w:val="en-US"/>
        </w:rPr>
        <w:t>The members of the ELT are:</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Anti-Discrimination Commissioner (Chair);</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Deputy Commissioner (Deputy Chair);</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State Director, Complaint Management;</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 xml:space="preserve">Manager, Corporate Services; </w:t>
      </w:r>
      <w:r w:rsidR="00D87458">
        <w:rPr>
          <w:rFonts w:eastAsia="Times New Roman" w:cstheme="minorHAnsi"/>
          <w:i w:val="0"/>
          <w:sz w:val="22"/>
          <w:szCs w:val="22"/>
          <w:lang w:eastAsia="en-AU"/>
        </w:rPr>
        <w:t>and</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Manager, Community Relations.</w:t>
      </w:r>
    </w:p>
    <w:p w:rsidR="00F55346" w:rsidRPr="002F3BB0" w:rsidRDefault="00F55346" w:rsidP="0019492F">
      <w:pPr>
        <w:autoSpaceDE w:val="0"/>
        <w:autoSpaceDN w:val="0"/>
        <w:adjustRightInd w:val="0"/>
        <w:spacing w:before="240" w:after="120" w:line="240" w:lineRule="auto"/>
        <w:rPr>
          <w:rFonts w:ascii="Arial" w:hAnsi="Arial" w:cs="Arial"/>
          <w:i w:val="0"/>
          <w:sz w:val="22"/>
          <w:szCs w:val="22"/>
          <w:lang w:val="en-US"/>
        </w:rPr>
      </w:pPr>
      <w:r w:rsidRPr="002F3BB0">
        <w:rPr>
          <w:rFonts w:ascii="Arial" w:hAnsi="Arial" w:cs="Arial"/>
          <w:i w:val="0"/>
          <w:sz w:val="22"/>
          <w:szCs w:val="22"/>
          <w:lang w:val="en-US"/>
        </w:rPr>
        <w:t>The Leadership Group is a sub-committee of the ELT.  The group is responsible for providing advice to the Commissioner in the following areas:</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overseeing strategic and operational planning processes to ensure that strategies, goals and performance measures address overarching priorities;</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monitoring performance to ensure services are being delivered to the required level and quality;</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driving the identification and establishment of best practice in all aspects of service delivery;</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monitoring the effectiveness of governance practices including policies and procedures;</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allocatio</w:t>
      </w:r>
      <w:r w:rsidR="009A4581" w:rsidRPr="0019492F">
        <w:rPr>
          <w:rFonts w:eastAsia="Times New Roman" w:cstheme="minorHAnsi"/>
          <w:i w:val="0"/>
          <w:sz w:val="22"/>
          <w:szCs w:val="22"/>
          <w:lang w:eastAsia="en-AU"/>
        </w:rPr>
        <w:t>n and management  of resources;</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ensuring the integrity of reporting systems and that appropriate systems of internal contr</w:t>
      </w:r>
      <w:r w:rsidR="009A4581" w:rsidRPr="0019492F">
        <w:rPr>
          <w:rFonts w:eastAsia="Times New Roman" w:cstheme="minorHAnsi"/>
          <w:i w:val="0"/>
          <w:sz w:val="22"/>
          <w:szCs w:val="22"/>
          <w:lang w:eastAsia="en-AU"/>
        </w:rPr>
        <w:t>ol are in place to manage risk;</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ensuring there are adequate processes in place to comply with statutory reporting requirements;</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ensuring that planning and performance management processes are based on an understanding of operational issues and constraints;</w:t>
      </w:r>
      <w:r w:rsidR="00D87458">
        <w:rPr>
          <w:rFonts w:eastAsia="Times New Roman" w:cstheme="minorHAnsi"/>
          <w:i w:val="0"/>
          <w:sz w:val="22"/>
          <w:szCs w:val="22"/>
          <w:lang w:eastAsia="en-AU"/>
        </w:rPr>
        <w:t xml:space="preserve"> and</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19492F">
        <w:rPr>
          <w:rFonts w:eastAsia="Times New Roman" w:cstheme="minorHAnsi"/>
          <w:i w:val="0"/>
          <w:sz w:val="22"/>
          <w:szCs w:val="22"/>
          <w:lang w:eastAsia="en-AU"/>
        </w:rPr>
        <w:t>maintaining</w:t>
      </w:r>
      <w:proofErr w:type="gramEnd"/>
      <w:r w:rsidRPr="0019492F">
        <w:rPr>
          <w:rFonts w:eastAsia="Times New Roman" w:cstheme="minorHAnsi"/>
          <w:i w:val="0"/>
          <w:sz w:val="22"/>
          <w:szCs w:val="22"/>
          <w:lang w:eastAsia="en-AU"/>
        </w:rPr>
        <w:t xml:space="preserve"> relationships and partnerships with stakeholders.</w:t>
      </w:r>
    </w:p>
    <w:p w:rsidR="00F55346" w:rsidRPr="002F3BB0" w:rsidRDefault="00F55346" w:rsidP="0019492F">
      <w:pPr>
        <w:spacing w:before="240" w:after="120" w:line="240" w:lineRule="auto"/>
        <w:rPr>
          <w:rFonts w:ascii="Arial" w:hAnsi="Arial" w:cs="Arial"/>
          <w:i w:val="0"/>
          <w:sz w:val="22"/>
          <w:szCs w:val="22"/>
          <w:lang w:val="en-US"/>
        </w:rPr>
      </w:pPr>
      <w:r w:rsidRPr="002F3BB0">
        <w:rPr>
          <w:rFonts w:ascii="Arial" w:hAnsi="Arial" w:cs="Arial"/>
          <w:i w:val="0"/>
          <w:sz w:val="22"/>
          <w:szCs w:val="22"/>
          <w:lang w:val="en-US"/>
        </w:rPr>
        <w:t>The members of the Leadership Group are:</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2F3BB0">
        <w:rPr>
          <w:rFonts w:ascii="Arial" w:hAnsi="Arial" w:cs="Arial"/>
          <w:i w:val="0"/>
          <w:sz w:val="22"/>
          <w:szCs w:val="22"/>
        </w:rPr>
        <w:t>Anti-</w:t>
      </w:r>
      <w:r w:rsidRPr="0019492F">
        <w:rPr>
          <w:rFonts w:eastAsia="Times New Roman" w:cstheme="minorHAnsi"/>
          <w:i w:val="0"/>
          <w:sz w:val="22"/>
          <w:szCs w:val="22"/>
          <w:lang w:eastAsia="en-AU"/>
        </w:rPr>
        <w:t>Discrimination Commissioner (Chair);</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Deputy Commissioner (Deputy Chair);</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State Director, Complaint Management;</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 xml:space="preserve">Principal </w:t>
      </w:r>
      <w:r w:rsidR="00D31306" w:rsidRPr="0019492F">
        <w:rPr>
          <w:rFonts w:eastAsia="Times New Roman" w:cstheme="minorHAnsi"/>
          <w:i w:val="0"/>
          <w:sz w:val="22"/>
          <w:szCs w:val="22"/>
          <w:lang w:eastAsia="en-AU"/>
        </w:rPr>
        <w:t>Lawyer</w:t>
      </w:r>
      <w:r w:rsidRPr="0019492F">
        <w:rPr>
          <w:rFonts w:eastAsia="Times New Roman" w:cstheme="minorHAnsi"/>
          <w:i w:val="0"/>
          <w:sz w:val="22"/>
          <w:szCs w:val="22"/>
          <w:lang w:eastAsia="en-AU"/>
        </w:rPr>
        <w:t>;</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Manager, Corporate Services;</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Manager, Community Relations;</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Manager, Far North Queensland Region;</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Manager, North Queensland Region;</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Manager, Central Queensland Region;</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Manager, Brisbane Complaint Team;</w:t>
      </w:r>
      <w:r w:rsidR="00D87458">
        <w:rPr>
          <w:rFonts w:eastAsia="Times New Roman" w:cstheme="minorHAnsi"/>
          <w:i w:val="0"/>
          <w:sz w:val="22"/>
          <w:szCs w:val="22"/>
          <w:lang w:eastAsia="en-AU"/>
        </w:rPr>
        <w:t xml:space="preserve"> and</w:t>
      </w:r>
    </w:p>
    <w:p w:rsidR="00F55346" w:rsidRPr="0019492F" w:rsidRDefault="00F55346"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Coordinator Aboriginal and Torres Strait Islander Unit.</w:t>
      </w:r>
    </w:p>
    <w:p w:rsidR="00C9506D" w:rsidRPr="002F3BB0" w:rsidRDefault="00C9506D" w:rsidP="00565444">
      <w:pPr>
        <w:pStyle w:val="Heading2"/>
        <w:rPr>
          <w:i/>
        </w:rPr>
      </w:pPr>
      <w:bookmarkStart w:id="33" w:name="_Toc243284323"/>
      <w:r w:rsidRPr="002F3BB0">
        <w:t>Commission staff</w:t>
      </w:r>
      <w:bookmarkEnd w:id="33"/>
    </w:p>
    <w:p w:rsidR="00F55346" w:rsidRPr="002F3BB0" w:rsidRDefault="00F55346" w:rsidP="0019492F">
      <w:pPr>
        <w:spacing w:after="240" w:line="240" w:lineRule="auto"/>
        <w:rPr>
          <w:rFonts w:ascii="Arial" w:hAnsi="Arial" w:cs="Arial"/>
          <w:i w:val="0"/>
          <w:sz w:val="22"/>
          <w:szCs w:val="22"/>
        </w:rPr>
      </w:pPr>
      <w:r w:rsidRPr="002F3BB0">
        <w:rPr>
          <w:rFonts w:ascii="Arial" w:hAnsi="Arial" w:cs="Arial"/>
          <w:i w:val="0"/>
          <w:sz w:val="22"/>
          <w:szCs w:val="22"/>
        </w:rPr>
        <w:t xml:space="preserve">The ADCQ maintains offices in Brisbane, Cairns, Townsville and Rockhampton. At 30 June 2014, we employed 33.2 equivalent permanent, temporary and casual staff. This figure excludes people on leave without pay. The proportion of permanent staff increased from 86 to 90 per cent over the last year. The permanent staff retention rate during 2013–14 was 98 per cent. The permanent staff </w:t>
      </w:r>
      <w:r w:rsidR="009A4581">
        <w:rPr>
          <w:rFonts w:ascii="Arial" w:hAnsi="Arial" w:cs="Arial"/>
          <w:i w:val="0"/>
          <w:sz w:val="22"/>
          <w:szCs w:val="22"/>
        </w:rPr>
        <w:t>separation rate was 2 per cent.</w:t>
      </w:r>
    </w:p>
    <w:p w:rsidR="00F55346" w:rsidRPr="002F3BB0" w:rsidRDefault="00F55346" w:rsidP="009F5B2C">
      <w:pPr>
        <w:pStyle w:val="Caption"/>
        <w:keepNext/>
        <w:spacing w:after="240" w:line="240" w:lineRule="auto"/>
        <w:rPr>
          <w:i w:val="0"/>
          <w:sz w:val="20"/>
        </w:rPr>
      </w:pPr>
      <w:bookmarkStart w:id="34" w:name="_Toc243207814"/>
      <w:r w:rsidRPr="002F3BB0">
        <w:rPr>
          <w:i w:val="0"/>
          <w:sz w:val="20"/>
        </w:rPr>
        <w:lastRenderedPageBreak/>
        <w:t xml:space="preserve">Table </w:t>
      </w:r>
      <w:r w:rsidR="005B6927">
        <w:rPr>
          <w:i w:val="0"/>
          <w:sz w:val="20"/>
        </w:rPr>
        <w:t>13:</w:t>
      </w:r>
      <w:r w:rsidRPr="002F3BB0">
        <w:rPr>
          <w:i w:val="0"/>
          <w:sz w:val="20"/>
        </w:rPr>
        <w:t xml:space="preserve"> Staff groups</w:t>
      </w:r>
      <w:bookmarkEnd w:id="34"/>
    </w:p>
    <w:tbl>
      <w:tblPr>
        <w:tblStyle w:val="LightList-Accent5"/>
        <w:tblW w:w="0" w:type="auto"/>
        <w:tblLook w:val="01E0" w:firstRow="1" w:lastRow="1" w:firstColumn="1" w:lastColumn="1" w:noHBand="0" w:noVBand="0"/>
        <w:tblDescription w:val="Staff groups"/>
      </w:tblPr>
      <w:tblGrid>
        <w:gridCol w:w="3199"/>
        <w:gridCol w:w="1408"/>
      </w:tblGrid>
      <w:tr w:rsidR="00F55346" w:rsidRPr="002F3BB0" w:rsidTr="00585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Pr>
          <w:p w:rsidR="00F55346" w:rsidRPr="002F3BB0" w:rsidRDefault="00F55346" w:rsidP="009F5B2C">
            <w:pPr>
              <w:keepNext/>
              <w:keepLines/>
              <w:tabs>
                <w:tab w:val="left" w:pos="2340"/>
              </w:tabs>
              <w:spacing w:before="40" w:after="40"/>
              <w:rPr>
                <w:rFonts w:ascii="Arial Bold" w:hAnsi="Arial Bold" w:cs="Arial"/>
                <w:b w:val="0"/>
                <w:bCs w:val="0"/>
                <w:i w:val="0"/>
                <w:sz w:val="22"/>
                <w:szCs w:val="22"/>
              </w:rPr>
            </w:pPr>
            <w:r w:rsidRPr="002F3BB0">
              <w:rPr>
                <w:rFonts w:ascii="Arial Bold" w:hAnsi="Arial Bold" w:cs="Arial"/>
                <w:b w:val="0"/>
                <w:bCs w:val="0"/>
                <w:i w:val="0"/>
                <w:sz w:val="22"/>
                <w:szCs w:val="22"/>
              </w:rPr>
              <w:t>Group</w:t>
            </w:r>
          </w:p>
        </w:tc>
        <w:tc>
          <w:tcPr>
            <w:cnfStyle w:val="000100000000" w:firstRow="0" w:lastRow="0" w:firstColumn="0" w:lastColumn="1" w:oddVBand="0" w:evenVBand="0" w:oddHBand="0" w:evenHBand="0" w:firstRowFirstColumn="0" w:firstRowLastColumn="0" w:lastRowFirstColumn="0" w:lastRowLastColumn="0"/>
            <w:tcW w:w="1408" w:type="dxa"/>
          </w:tcPr>
          <w:p w:rsidR="00F55346" w:rsidRPr="002F3BB0" w:rsidRDefault="00F55346" w:rsidP="009F5B2C">
            <w:pPr>
              <w:keepNext/>
              <w:keepLines/>
              <w:tabs>
                <w:tab w:val="left" w:pos="2340"/>
              </w:tabs>
              <w:spacing w:before="40" w:after="40"/>
              <w:rPr>
                <w:rFonts w:ascii="Arial Bold" w:hAnsi="Arial Bold" w:cs="Arial"/>
                <w:b w:val="0"/>
                <w:bCs w:val="0"/>
                <w:i w:val="0"/>
                <w:sz w:val="22"/>
                <w:szCs w:val="22"/>
              </w:rPr>
            </w:pPr>
            <w:r w:rsidRPr="002F3BB0">
              <w:rPr>
                <w:rFonts w:ascii="Arial Bold" w:hAnsi="Arial Bold" w:cs="Arial"/>
                <w:b w:val="0"/>
                <w:bCs w:val="0"/>
                <w:i w:val="0"/>
                <w:sz w:val="22"/>
                <w:szCs w:val="22"/>
              </w:rPr>
              <w:t>Employees</w:t>
            </w:r>
          </w:p>
        </w:tc>
      </w:tr>
      <w:tr w:rsidR="00F55346"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Pr>
          <w:p w:rsidR="00F55346" w:rsidRPr="002F3BB0" w:rsidRDefault="00F55346" w:rsidP="009F5B2C">
            <w:pPr>
              <w:keepNext/>
              <w:keepLines/>
              <w:spacing w:before="40" w:after="40"/>
              <w:rPr>
                <w:rFonts w:ascii="Arial" w:hAnsi="Arial" w:cs="Arial"/>
                <w:i w:val="0"/>
                <w:sz w:val="22"/>
                <w:szCs w:val="22"/>
              </w:rPr>
            </w:pPr>
            <w:r w:rsidRPr="002F3BB0">
              <w:rPr>
                <w:rFonts w:ascii="Arial" w:hAnsi="Arial" w:cs="Arial"/>
                <w:i w:val="0"/>
                <w:sz w:val="22"/>
                <w:szCs w:val="22"/>
              </w:rPr>
              <w:t>Executive management</w:t>
            </w:r>
            <w:r w:rsidRPr="002F3BB0">
              <w:rPr>
                <w:rFonts w:ascii="Arial" w:hAnsi="Arial" w:cs="Arial"/>
                <w:i w:val="0"/>
                <w:sz w:val="22"/>
                <w:szCs w:val="22"/>
              </w:rPr>
              <w:tab/>
            </w:r>
          </w:p>
        </w:tc>
        <w:tc>
          <w:tcPr>
            <w:cnfStyle w:val="000100000000" w:firstRow="0" w:lastRow="0" w:firstColumn="0" w:lastColumn="1" w:oddVBand="0" w:evenVBand="0" w:oddHBand="0" w:evenHBand="0" w:firstRowFirstColumn="0" w:firstRowLastColumn="0" w:lastRowFirstColumn="0" w:lastRowLastColumn="0"/>
            <w:tcW w:w="1408" w:type="dxa"/>
          </w:tcPr>
          <w:p w:rsidR="00F55346" w:rsidRPr="002F3BB0" w:rsidRDefault="00F55346" w:rsidP="009F5B2C">
            <w:pPr>
              <w:keepNext/>
              <w:keepLines/>
              <w:spacing w:before="40" w:after="40"/>
              <w:jc w:val="right"/>
              <w:rPr>
                <w:rFonts w:ascii="Arial" w:hAnsi="Arial" w:cs="Arial"/>
                <w:i w:val="0"/>
                <w:sz w:val="22"/>
                <w:szCs w:val="22"/>
              </w:rPr>
            </w:pPr>
            <w:r w:rsidRPr="002F3BB0">
              <w:rPr>
                <w:rFonts w:ascii="Arial" w:hAnsi="Arial" w:cs="Arial"/>
                <w:i w:val="0"/>
                <w:sz w:val="22"/>
                <w:szCs w:val="22"/>
              </w:rPr>
              <w:t>3</w:t>
            </w:r>
          </w:p>
        </w:tc>
      </w:tr>
      <w:tr w:rsidR="00F55346" w:rsidRPr="002F3BB0" w:rsidTr="00585B86">
        <w:tc>
          <w:tcPr>
            <w:cnfStyle w:val="001000000000" w:firstRow="0" w:lastRow="0" w:firstColumn="1" w:lastColumn="0" w:oddVBand="0" w:evenVBand="0" w:oddHBand="0" w:evenHBand="0" w:firstRowFirstColumn="0" w:firstRowLastColumn="0" w:lastRowFirstColumn="0" w:lastRowLastColumn="0"/>
            <w:tcW w:w="3199" w:type="dxa"/>
          </w:tcPr>
          <w:p w:rsidR="00F55346" w:rsidRPr="002F3BB0" w:rsidRDefault="00F55346" w:rsidP="009F5B2C">
            <w:pPr>
              <w:keepNext/>
              <w:keepLines/>
              <w:spacing w:before="40" w:after="40"/>
              <w:rPr>
                <w:rFonts w:ascii="Arial" w:hAnsi="Arial" w:cs="Arial"/>
                <w:i w:val="0"/>
                <w:sz w:val="22"/>
                <w:szCs w:val="22"/>
              </w:rPr>
            </w:pPr>
            <w:r w:rsidRPr="002F3BB0">
              <w:rPr>
                <w:rFonts w:ascii="Arial" w:hAnsi="Arial" w:cs="Arial"/>
                <w:i w:val="0"/>
                <w:sz w:val="22"/>
                <w:szCs w:val="22"/>
              </w:rPr>
              <w:t>Legal</w:t>
            </w:r>
            <w:r w:rsidRPr="002F3BB0">
              <w:rPr>
                <w:rFonts w:ascii="Arial" w:hAnsi="Arial" w:cs="Arial"/>
                <w:i w:val="0"/>
                <w:sz w:val="22"/>
                <w:szCs w:val="22"/>
              </w:rPr>
              <w:tab/>
            </w:r>
          </w:p>
        </w:tc>
        <w:tc>
          <w:tcPr>
            <w:cnfStyle w:val="000100000000" w:firstRow="0" w:lastRow="0" w:firstColumn="0" w:lastColumn="1" w:oddVBand="0" w:evenVBand="0" w:oddHBand="0" w:evenHBand="0" w:firstRowFirstColumn="0" w:firstRowLastColumn="0" w:lastRowFirstColumn="0" w:lastRowLastColumn="0"/>
            <w:tcW w:w="1408" w:type="dxa"/>
          </w:tcPr>
          <w:p w:rsidR="00F55346" w:rsidRPr="002F3BB0" w:rsidRDefault="00F55346" w:rsidP="009F5B2C">
            <w:pPr>
              <w:keepNext/>
              <w:keepLines/>
              <w:spacing w:before="40" w:after="40"/>
              <w:jc w:val="right"/>
              <w:rPr>
                <w:rFonts w:ascii="Arial" w:hAnsi="Arial" w:cs="Arial"/>
                <w:i w:val="0"/>
                <w:sz w:val="22"/>
                <w:szCs w:val="22"/>
              </w:rPr>
            </w:pPr>
            <w:r w:rsidRPr="002F3BB0">
              <w:rPr>
                <w:rFonts w:ascii="Arial" w:hAnsi="Arial" w:cs="Arial"/>
                <w:i w:val="0"/>
                <w:sz w:val="22"/>
                <w:szCs w:val="22"/>
              </w:rPr>
              <w:t>1</w:t>
            </w:r>
          </w:p>
        </w:tc>
      </w:tr>
      <w:tr w:rsidR="00F55346"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Pr>
          <w:p w:rsidR="00F55346" w:rsidRPr="002F3BB0" w:rsidRDefault="00F55346" w:rsidP="009F5B2C">
            <w:pPr>
              <w:keepNext/>
              <w:keepLines/>
              <w:spacing w:before="40" w:after="40"/>
              <w:rPr>
                <w:rFonts w:ascii="Arial" w:hAnsi="Arial" w:cs="Arial"/>
                <w:i w:val="0"/>
                <w:sz w:val="22"/>
                <w:szCs w:val="22"/>
              </w:rPr>
            </w:pPr>
            <w:r w:rsidRPr="002F3BB0">
              <w:rPr>
                <w:rFonts w:ascii="Arial" w:hAnsi="Arial" w:cs="Arial"/>
                <w:i w:val="0"/>
                <w:sz w:val="22"/>
                <w:szCs w:val="22"/>
              </w:rPr>
              <w:t>Corporate support</w:t>
            </w:r>
          </w:p>
        </w:tc>
        <w:tc>
          <w:tcPr>
            <w:cnfStyle w:val="000100000000" w:firstRow="0" w:lastRow="0" w:firstColumn="0" w:lastColumn="1" w:oddVBand="0" w:evenVBand="0" w:oddHBand="0" w:evenHBand="0" w:firstRowFirstColumn="0" w:firstRowLastColumn="0" w:lastRowFirstColumn="0" w:lastRowLastColumn="0"/>
            <w:tcW w:w="1408" w:type="dxa"/>
          </w:tcPr>
          <w:p w:rsidR="00F55346" w:rsidRPr="002F3BB0" w:rsidRDefault="00F55346" w:rsidP="009F5B2C">
            <w:pPr>
              <w:keepNext/>
              <w:keepLines/>
              <w:spacing w:before="40" w:after="40"/>
              <w:jc w:val="right"/>
              <w:rPr>
                <w:rFonts w:ascii="Arial" w:hAnsi="Arial" w:cs="Arial"/>
                <w:i w:val="0"/>
                <w:sz w:val="22"/>
                <w:szCs w:val="22"/>
              </w:rPr>
            </w:pPr>
            <w:r w:rsidRPr="002F3BB0">
              <w:rPr>
                <w:rFonts w:ascii="Arial" w:hAnsi="Arial" w:cs="Arial"/>
                <w:i w:val="0"/>
                <w:sz w:val="22"/>
                <w:szCs w:val="22"/>
              </w:rPr>
              <w:t>4</w:t>
            </w:r>
          </w:p>
        </w:tc>
      </w:tr>
      <w:tr w:rsidR="00F55346" w:rsidRPr="002F3BB0" w:rsidTr="00585B86">
        <w:tc>
          <w:tcPr>
            <w:cnfStyle w:val="001000000000" w:firstRow="0" w:lastRow="0" w:firstColumn="1" w:lastColumn="0" w:oddVBand="0" w:evenVBand="0" w:oddHBand="0" w:evenHBand="0" w:firstRowFirstColumn="0" w:firstRowLastColumn="0" w:lastRowFirstColumn="0" w:lastRowLastColumn="0"/>
            <w:tcW w:w="3199" w:type="dxa"/>
          </w:tcPr>
          <w:p w:rsidR="00F55346" w:rsidRPr="002F3BB0" w:rsidRDefault="00F55346" w:rsidP="009F5B2C">
            <w:pPr>
              <w:keepNext/>
              <w:keepLines/>
              <w:spacing w:before="40" w:after="40"/>
              <w:rPr>
                <w:rFonts w:ascii="Arial" w:hAnsi="Arial" w:cs="Arial"/>
                <w:i w:val="0"/>
                <w:sz w:val="22"/>
                <w:szCs w:val="22"/>
              </w:rPr>
            </w:pPr>
            <w:r w:rsidRPr="002F3BB0">
              <w:rPr>
                <w:rFonts w:ascii="Arial" w:hAnsi="Arial" w:cs="Arial"/>
                <w:i w:val="0"/>
                <w:sz w:val="22"/>
                <w:szCs w:val="22"/>
              </w:rPr>
              <w:t>Information technology</w:t>
            </w:r>
          </w:p>
        </w:tc>
        <w:tc>
          <w:tcPr>
            <w:cnfStyle w:val="000100000000" w:firstRow="0" w:lastRow="0" w:firstColumn="0" w:lastColumn="1" w:oddVBand="0" w:evenVBand="0" w:oddHBand="0" w:evenHBand="0" w:firstRowFirstColumn="0" w:firstRowLastColumn="0" w:lastRowFirstColumn="0" w:lastRowLastColumn="0"/>
            <w:tcW w:w="1408" w:type="dxa"/>
          </w:tcPr>
          <w:p w:rsidR="00F55346" w:rsidRPr="002F3BB0" w:rsidRDefault="00F55346" w:rsidP="009F5B2C">
            <w:pPr>
              <w:keepNext/>
              <w:keepLines/>
              <w:spacing w:before="40" w:after="40"/>
              <w:jc w:val="right"/>
              <w:rPr>
                <w:rFonts w:ascii="Arial" w:hAnsi="Arial" w:cs="Arial"/>
                <w:i w:val="0"/>
                <w:sz w:val="22"/>
                <w:szCs w:val="22"/>
              </w:rPr>
            </w:pPr>
            <w:r w:rsidRPr="002F3BB0">
              <w:rPr>
                <w:rFonts w:ascii="Arial" w:hAnsi="Arial" w:cs="Arial"/>
                <w:i w:val="0"/>
                <w:sz w:val="22"/>
                <w:szCs w:val="22"/>
              </w:rPr>
              <w:t>1</w:t>
            </w:r>
          </w:p>
        </w:tc>
      </w:tr>
      <w:tr w:rsidR="00F55346"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Pr>
          <w:p w:rsidR="00F55346" w:rsidRPr="002F3BB0" w:rsidRDefault="00F55346" w:rsidP="009F5B2C">
            <w:pPr>
              <w:keepNext/>
              <w:keepLines/>
              <w:spacing w:before="40" w:after="40"/>
              <w:rPr>
                <w:rFonts w:ascii="Arial" w:hAnsi="Arial" w:cs="Arial"/>
                <w:i w:val="0"/>
                <w:sz w:val="22"/>
                <w:szCs w:val="22"/>
              </w:rPr>
            </w:pPr>
            <w:r w:rsidRPr="002F3BB0">
              <w:rPr>
                <w:rFonts w:ascii="Arial" w:hAnsi="Arial" w:cs="Arial"/>
                <w:i w:val="0"/>
                <w:sz w:val="22"/>
                <w:szCs w:val="22"/>
              </w:rPr>
              <w:t>Conciliation</w:t>
            </w:r>
          </w:p>
        </w:tc>
        <w:tc>
          <w:tcPr>
            <w:cnfStyle w:val="000100000000" w:firstRow="0" w:lastRow="0" w:firstColumn="0" w:lastColumn="1" w:oddVBand="0" w:evenVBand="0" w:oddHBand="0" w:evenHBand="0" w:firstRowFirstColumn="0" w:firstRowLastColumn="0" w:lastRowFirstColumn="0" w:lastRowLastColumn="0"/>
            <w:tcW w:w="1408" w:type="dxa"/>
          </w:tcPr>
          <w:p w:rsidR="00F55346" w:rsidRPr="002F3BB0" w:rsidRDefault="00F55346" w:rsidP="009F5B2C">
            <w:pPr>
              <w:keepNext/>
              <w:keepLines/>
              <w:spacing w:before="40" w:after="40"/>
              <w:jc w:val="right"/>
              <w:rPr>
                <w:rFonts w:ascii="Arial" w:hAnsi="Arial" w:cs="Arial"/>
                <w:i w:val="0"/>
                <w:sz w:val="22"/>
                <w:szCs w:val="22"/>
              </w:rPr>
            </w:pPr>
            <w:r w:rsidRPr="002F3BB0">
              <w:rPr>
                <w:rFonts w:ascii="Arial" w:hAnsi="Arial" w:cs="Arial"/>
                <w:i w:val="0"/>
                <w:sz w:val="22"/>
                <w:szCs w:val="22"/>
              </w:rPr>
              <w:t>9</w:t>
            </w:r>
          </w:p>
        </w:tc>
      </w:tr>
      <w:tr w:rsidR="00F55346" w:rsidRPr="002F3BB0" w:rsidTr="00585B86">
        <w:tc>
          <w:tcPr>
            <w:cnfStyle w:val="001000000000" w:firstRow="0" w:lastRow="0" w:firstColumn="1" w:lastColumn="0" w:oddVBand="0" w:evenVBand="0" w:oddHBand="0" w:evenHBand="0" w:firstRowFirstColumn="0" w:firstRowLastColumn="0" w:lastRowFirstColumn="0" w:lastRowLastColumn="0"/>
            <w:tcW w:w="3199" w:type="dxa"/>
          </w:tcPr>
          <w:p w:rsidR="00F55346" w:rsidRPr="002F3BB0" w:rsidRDefault="00F55346" w:rsidP="009F5B2C">
            <w:pPr>
              <w:keepNext/>
              <w:keepLines/>
              <w:spacing w:before="40" w:after="40"/>
              <w:rPr>
                <w:rFonts w:ascii="Arial" w:hAnsi="Arial" w:cs="Arial"/>
                <w:i w:val="0"/>
                <w:sz w:val="22"/>
                <w:szCs w:val="22"/>
              </w:rPr>
            </w:pPr>
            <w:r w:rsidRPr="002F3BB0">
              <w:rPr>
                <w:rFonts w:ascii="Arial" w:hAnsi="Arial" w:cs="Arial"/>
                <w:i w:val="0"/>
                <w:sz w:val="22"/>
                <w:szCs w:val="22"/>
              </w:rPr>
              <w:t>Community relations</w:t>
            </w:r>
          </w:p>
        </w:tc>
        <w:tc>
          <w:tcPr>
            <w:cnfStyle w:val="000100000000" w:firstRow="0" w:lastRow="0" w:firstColumn="0" w:lastColumn="1" w:oddVBand="0" w:evenVBand="0" w:oddHBand="0" w:evenHBand="0" w:firstRowFirstColumn="0" w:firstRowLastColumn="0" w:lastRowFirstColumn="0" w:lastRowLastColumn="0"/>
            <w:tcW w:w="1408" w:type="dxa"/>
          </w:tcPr>
          <w:p w:rsidR="00F55346" w:rsidRPr="002F3BB0" w:rsidRDefault="00F55346" w:rsidP="009F5B2C">
            <w:pPr>
              <w:keepNext/>
              <w:keepLines/>
              <w:spacing w:before="40" w:after="40"/>
              <w:jc w:val="right"/>
              <w:rPr>
                <w:rFonts w:ascii="Arial" w:hAnsi="Arial" w:cs="Arial"/>
                <w:i w:val="0"/>
                <w:sz w:val="22"/>
                <w:szCs w:val="22"/>
              </w:rPr>
            </w:pPr>
            <w:r w:rsidRPr="002F3BB0">
              <w:rPr>
                <w:rFonts w:ascii="Arial" w:hAnsi="Arial" w:cs="Arial"/>
                <w:i w:val="0"/>
                <w:sz w:val="22"/>
                <w:szCs w:val="22"/>
              </w:rPr>
              <w:t>6</w:t>
            </w:r>
          </w:p>
        </w:tc>
      </w:tr>
      <w:tr w:rsidR="00F55346" w:rsidRPr="002F3BB0"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Pr>
          <w:p w:rsidR="00F55346" w:rsidRPr="002F3BB0" w:rsidRDefault="00F55346" w:rsidP="009F5B2C">
            <w:pPr>
              <w:keepNext/>
              <w:keepLines/>
              <w:spacing w:before="40" w:after="40"/>
              <w:rPr>
                <w:rFonts w:ascii="Arial" w:hAnsi="Arial" w:cs="Arial"/>
                <w:i w:val="0"/>
                <w:sz w:val="22"/>
                <w:szCs w:val="22"/>
              </w:rPr>
            </w:pPr>
            <w:r w:rsidRPr="002F3BB0">
              <w:rPr>
                <w:rFonts w:ascii="Arial" w:hAnsi="Arial" w:cs="Arial"/>
                <w:i w:val="0"/>
                <w:sz w:val="22"/>
                <w:szCs w:val="22"/>
              </w:rPr>
              <w:t>Regional services</w:t>
            </w:r>
            <w:r w:rsidRPr="002F3BB0">
              <w:rPr>
                <w:rFonts w:ascii="Arial" w:hAnsi="Arial" w:cs="Arial"/>
                <w:i w:val="0"/>
                <w:sz w:val="22"/>
                <w:szCs w:val="22"/>
              </w:rPr>
              <w:tab/>
            </w:r>
          </w:p>
        </w:tc>
        <w:tc>
          <w:tcPr>
            <w:cnfStyle w:val="000100000000" w:firstRow="0" w:lastRow="0" w:firstColumn="0" w:lastColumn="1" w:oddVBand="0" w:evenVBand="0" w:oddHBand="0" w:evenHBand="0" w:firstRowFirstColumn="0" w:firstRowLastColumn="0" w:lastRowFirstColumn="0" w:lastRowLastColumn="0"/>
            <w:tcW w:w="1408" w:type="dxa"/>
          </w:tcPr>
          <w:p w:rsidR="00F55346" w:rsidRPr="002F3BB0" w:rsidRDefault="00F55346" w:rsidP="009F5B2C">
            <w:pPr>
              <w:keepNext/>
              <w:keepLines/>
              <w:spacing w:before="40" w:after="40"/>
              <w:jc w:val="right"/>
              <w:rPr>
                <w:rFonts w:ascii="Arial" w:hAnsi="Arial" w:cs="Arial"/>
                <w:i w:val="0"/>
                <w:sz w:val="22"/>
                <w:szCs w:val="22"/>
              </w:rPr>
            </w:pPr>
            <w:r w:rsidRPr="002F3BB0">
              <w:rPr>
                <w:rFonts w:ascii="Arial" w:hAnsi="Arial" w:cs="Arial"/>
                <w:i w:val="0"/>
                <w:sz w:val="22"/>
                <w:szCs w:val="22"/>
              </w:rPr>
              <w:t>9</w:t>
            </w:r>
          </w:p>
        </w:tc>
      </w:tr>
      <w:tr w:rsidR="00F55346" w:rsidRPr="002F3BB0" w:rsidTr="00585B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dxa"/>
          </w:tcPr>
          <w:p w:rsidR="00F55346" w:rsidRPr="002F3BB0" w:rsidRDefault="00F55346" w:rsidP="009F5B2C">
            <w:pPr>
              <w:keepNext/>
              <w:keepLines/>
              <w:spacing w:before="40" w:after="40"/>
              <w:rPr>
                <w:rFonts w:ascii="Arial" w:hAnsi="Arial" w:cs="Arial"/>
                <w:b w:val="0"/>
                <w:bCs w:val="0"/>
                <w:i w:val="0"/>
                <w:sz w:val="22"/>
                <w:szCs w:val="22"/>
              </w:rPr>
            </w:pPr>
            <w:r w:rsidRPr="002F3BB0">
              <w:rPr>
                <w:rFonts w:ascii="Arial" w:hAnsi="Arial" w:cs="Arial"/>
                <w:b w:val="0"/>
                <w:bCs w:val="0"/>
                <w:i w:val="0"/>
                <w:sz w:val="22"/>
                <w:szCs w:val="22"/>
              </w:rPr>
              <w:t>Total</w:t>
            </w:r>
          </w:p>
        </w:tc>
        <w:tc>
          <w:tcPr>
            <w:cnfStyle w:val="000100000000" w:firstRow="0" w:lastRow="0" w:firstColumn="0" w:lastColumn="1" w:oddVBand="0" w:evenVBand="0" w:oddHBand="0" w:evenHBand="0" w:firstRowFirstColumn="0" w:firstRowLastColumn="0" w:lastRowFirstColumn="0" w:lastRowLastColumn="0"/>
            <w:tcW w:w="1408" w:type="dxa"/>
          </w:tcPr>
          <w:p w:rsidR="00F55346" w:rsidRPr="002F3BB0" w:rsidRDefault="00F55346" w:rsidP="009F5B2C">
            <w:pPr>
              <w:keepNext/>
              <w:keepLines/>
              <w:spacing w:before="40" w:after="40"/>
              <w:jc w:val="right"/>
              <w:rPr>
                <w:rFonts w:ascii="Arial" w:hAnsi="Arial" w:cs="Arial"/>
                <w:b w:val="0"/>
                <w:bCs w:val="0"/>
                <w:i w:val="0"/>
                <w:sz w:val="22"/>
                <w:szCs w:val="22"/>
              </w:rPr>
            </w:pPr>
            <w:r w:rsidRPr="002F3BB0">
              <w:rPr>
                <w:rFonts w:ascii="Arial" w:hAnsi="Arial" w:cs="Arial"/>
                <w:b w:val="0"/>
                <w:bCs w:val="0"/>
                <w:i w:val="0"/>
                <w:sz w:val="22"/>
                <w:szCs w:val="22"/>
              </w:rPr>
              <w:t>33</w:t>
            </w:r>
          </w:p>
        </w:tc>
      </w:tr>
    </w:tbl>
    <w:p w:rsidR="00F55346" w:rsidRPr="002F3BB0" w:rsidRDefault="00F55346" w:rsidP="009F5B2C">
      <w:pPr>
        <w:spacing w:before="240" w:after="120" w:line="240" w:lineRule="auto"/>
        <w:rPr>
          <w:rFonts w:cstheme="minorHAnsi"/>
          <w:b/>
          <w:i w:val="0"/>
          <w:sz w:val="22"/>
          <w:szCs w:val="22"/>
        </w:rPr>
      </w:pPr>
    </w:p>
    <w:p w:rsidR="00F55346" w:rsidRPr="002F3BB0" w:rsidRDefault="00F55346" w:rsidP="009F5B2C">
      <w:pPr>
        <w:pStyle w:val="Caption"/>
        <w:spacing w:before="240" w:after="240" w:line="240" w:lineRule="auto"/>
        <w:rPr>
          <w:rFonts w:cs="Arial"/>
          <w:i w:val="0"/>
          <w:sz w:val="20"/>
        </w:rPr>
      </w:pPr>
      <w:r w:rsidRPr="002F3BB0">
        <w:rPr>
          <w:rFonts w:cs="Arial"/>
          <w:i w:val="0"/>
          <w:sz w:val="20"/>
        </w:rPr>
        <w:t xml:space="preserve">Graph </w:t>
      </w:r>
      <w:r w:rsidRPr="002F3BB0">
        <w:rPr>
          <w:rFonts w:cs="Arial"/>
          <w:i w:val="0"/>
          <w:sz w:val="20"/>
        </w:rPr>
        <w:fldChar w:fldCharType="begin"/>
      </w:r>
      <w:r w:rsidRPr="002F3BB0">
        <w:rPr>
          <w:rFonts w:cs="Arial"/>
          <w:i w:val="0"/>
          <w:sz w:val="20"/>
        </w:rPr>
        <w:instrText xml:space="preserve"> SEQ Graph \* ARABIC </w:instrText>
      </w:r>
      <w:r w:rsidRPr="002F3BB0">
        <w:rPr>
          <w:rFonts w:cs="Arial"/>
          <w:i w:val="0"/>
          <w:sz w:val="20"/>
        </w:rPr>
        <w:fldChar w:fldCharType="separate"/>
      </w:r>
      <w:r w:rsidR="00860326">
        <w:rPr>
          <w:rFonts w:cs="Arial"/>
          <w:i w:val="0"/>
          <w:noProof/>
          <w:sz w:val="20"/>
        </w:rPr>
        <w:t>1</w:t>
      </w:r>
      <w:r w:rsidRPr="002F3BB0">
        <w:rPr>
          <w:rFonts w:cs="Arial"/>
          <w:i w:val="0"/>
          <w:sz w:val="20"/>
        </w:rPr>
        <w:fldChar w:fldCharType="end"/>
      </w:r>
      <w:r w:rsidR="0033101E">
        <w:rPr>
          <w:rFonts w:cs="Arial"/>
          <w:i w:val="0"/>
          <w:sz w:val="20"/>
        </w:rPr>
        <w:t>:</w:t>
      </w:r>
      <w:r w:rsidR="00D87458">
        <w:rPr>
          <w:rFonts w:cs="Arial"/>
          <w:i w:val="0"/>
          <w:sz w:val="20"/>
        </w:rPr>
        <w:t xml:space="preserve"> </w:t>
      </w:r>
      <w:r w:rsidRPr="002F3BB0">
        <w:rPr>
          <w:rFonts w:cs="Arial"/>
          <w:i w:val="0"/>
          <w:sz w:val="20"/>
        </w:rPr>
        <w:t>Employee profiles</w:t>
      </w:r>
    </w:p>
    <w:p w:rsidR="00E371F5" w:rsidRPr="00A817D3" w:rsidRDefault="00F55346" w:rsidP="009F5B2C">
      <w:pPr>
        <w:spacing w:after="240" w:line="240" w:lineRule="auto"/>
        <w:jc w:val="center"/>
        <w:rPr>
          <w:rFonts w:eastAsia="Times New Roman" w:cstheme="minorHAnsi"/>
          <w:i w:val="0"/>
          <w:color w:val="FF0000"/>
          <w:sz w:val="22"/>
          <w:szCs w:val="22"/>
          <w:lang w:eastAsia="en-AU"/>
        </w:rPr>
      </w:pPr>
      <w:r w:rsidRPr="00A817D3">
        <w:rPr>
          <w:i w:val="0"/>
          <w:noProof/>
          <w:highlight w:val="green"/>
          <w:lang w:eastAsia="en-AU"/>
        </w:rPr>
        <w:drawing>
          <wp:inline distT="0" distB="0" distL="0" distR="0" wp14:anchorId="605FD1EC" wp14:editId="57054564">
            <wp:extent cx="4072890" cy="2505075"/>
            <wp:effectExtent l="0" t="0" r="3810" b="0"/>
            <wp:docPr id="5" name="Chart 5" descr="Employee profil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0A07" w:rsidRDefault="00440A07" w:rsidP="00565444">
      <w:pPr>
        <w:pStyle w:val="Heading2"/>
        <w:rPr>
          <w:i/>
        </w:rPr>
      </w:pPr>
      <w:bookmarkStart w:id="35" w:name="_Toc240787698"/>
      <w:bookmarkStart w:id="36" w:name="_Toc243284324"/>
      <w:r>
        <w:t>Workplace culture</w:t>
      </w:r>
    </w:p>
    <w:p w:rsidR="00440A07" w:rsidRDefault="00440A07" w:rsidP="009F5B2C">
      <w:pPr>
        <w:spacing w:before="120" w:after="240" w:line="240" w:lineRule="auto"/>
        <w:rPr>
          <w:rFonts w:cstheme="minorHAnsi"/>
          <w:i w:val="0"/>
          <w:sz w:val="22"/>
          <w:szCs w:val="22"/>
        </w:rPr>
      </w:pPr>
      <w:r w:rsidRPr="00440A07">
        <w:rPr>
          <w:rFonts w:cstheme="minorHAnsi"/>
          <w:i w:val="0"/>
          <w:sz w:val="22"/>
          <w:szCs w:val="22"/>
        </w:rPr>
        <w:t xml:space="preserve">The Commission prides itself on fostering a positive workplace culture which reflects the key values of the Queensland public service and encourages diversity, innovation and responsiveness to the needs of our staff and clients. </w:t>
      </w:r>
      <w:r>
        <w:rPr>
          <w:rFonts w:cstheme="minorHAnsi"/>
          <w:i w:val="0"/>
          <w:sz w:val="22"/>
          <w:szCs w:val="22"/>
        </w:rPr>
        <w:t xml:space="preserve">The 2014 </w:t>
      </w:r>
      <w:r w:rsidRPr="00440A07">
        <w:rPr>
          <w:rFonts w:cstheme="minorHAnsi"/>
          <w:sz w:val="22"/>
          <w:szCs w:val="22"/>
        </w:rPr>
        <w:t>Working for Queensland Employee Opinion Survey</w:t>
      </w:r>
      <w:r>
        <w:rPr>
          <w:rFonts w:cstheme="minorHAnsi"/>
          <w:i w:val="0"/>
          <w:sz w:val="22"/>
          <w:szCs w:val="22"/>
        </w:rPr>
        <w:t xml:space="preserve"> results indicate that the Commission has been successful in creating a</w:t>
      </w:r>
      <w:r w:rsidR="009A4581">
        <w:rPr>
          <w:rFonts w:cstheme="minorHAnsi"/>
          <w:i w:val="0"/>
          <w:sz w:val="22"/>
          <w:szCs w:val="22"/>
        </w:rPr>
        <w:t>nd maintaining such a culture.</w:t>
      </w:r>
    </w:p>
    <w:p w:rsidR="00440A07" w:rsidRDefault="00440A07" w:rsidP="009F5B2C">
      <w:pPr>
        <w:spacing w:before="120" w:after="120" w:line="240" w:lineRule="auto"/>
        <w:rPr>
          <w:rFonts w:cstheme="minorHAnsi"/>
          <w:i w:val="0"/>
          <w:sz w:val="22"/>
          <w:szCs w:val="22"/>
        </w:rPr>
      </w:pPr>
      <w:r>
        <w:rPr>
          <w:rFonts w:cstheme="minorHAnsi"/>
          <w:i w:val="0"/>
          <w:sz w:val="22"/>
          <w:szCs w:val="22"/>
        </w:rPr>
        <w:t xml:space="preserve">Having scored reasonably well overall in the 2013 survey, the Executive Leadership </w:t>
      </w:r>
      <w:r w:rsidR="00D31306">
        <w:rPr>
          <w:rFonts w:cstheme="minorHAnsi"/>
          <w:i w:val="0"/>
          <w:sz w:val="22"/>
          <w:szCs w:val="22"/>
        </w:rPr>
        <w:t>i</w:t>
      </w:r>
      <w:r>
        <w:rPr>
          <w:rFonts w:cstheme="minorHAnsi"/>
          <w:i w:val="0"/>
          <w:sz w:val="22"/>
          <w:szCs w:val="22"/>
        </w:rPr>
        <w:t>dentified that there were some improvements needed</w:t>
      </w:r>
      <w:r w:rsidR="00E7433A">
        <w:rPr>
          <w:rFonts w:cstheme="minorHAnsi"/>
          <w:i w:val="0"/>
          <w:sz w:val="22"/>
          <w:szCs w:val="22"/>
        </w:rPr>
        <w:t>, particularly in relation to organisational trust and supervision and leadership factors. In response to this, a Leadership and Man</w:t>
      </w:r>
      <w:r w:rsidR="002A50D5">
        <w:rPr>
          <w:rFonts w:cstheme="minorHAnsi"/>
          <w:i w:val="0"/>
          <w:sz w:val="22"/>
          <w:szCs w:val="22"/>
        </w:rPr>
        <w:t xml:space="preserve">agement Program </w:t>
      </w:r>
      <w:proofErr w:type="gramStart"/>
      <w:r w:rsidR="002A50D5">
        <w:rPr>
          <w:rFonts w:cstheme="minorHAnsi"/>
          <w:i w:val="0"/>
          <w:sz w:val="22"/>
          <w:szCs w:val="22"/>
        </w:rPr>
        <w:t>was</w:t>
      </w:r>
      <w:proofErr w:type="gramEnd"/>
      <w:r w:rsidR="002A50D5">
        <w:rPr>
          <w:rFonts w:cstheme="minorHAnsi"/>
          <w:i w:val="0"/>
          <w:sz w:val="22"/>
          <w:szCs w:val="22"/>
        </w:rPr>
        <w:t xml:space="preserve"> facilitated. It was delivered as six full day workshops over the course of six months and also included the completion of an action learning project by each participant. The program covered topics including:</w:t>
      </w:r>
    </w:p>
    <w:p w:rsidR="002A50D5" w:rsidRPr="0019492F" w:rsidRDefault="008A7C6C" w:rsidP="009F5B2C">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r</w:t>
      </w:r>
      <w:r w:rsidR="002A50D5" w:rsidRPr="0019492F">
        <w:rPr>
          <w:rFonts w:eastAsia="Times New Roman" w:cstheme="minorHAnsi"/>
          <w:i w:val="0"/>
          <w:sz w:val="22"/>
          <w:szCs w:val="22"/>
          <w:lang w:eastAsia="en-AU"/>
        </w:rPr>
        <w:t>ole clarity, responsibilities and accountabilities</w:t>
      </w:r>
      <w:r w:rsidRPr="0019492F">
        <w:rPr>
          <w:rFonts w:eastAsia="Times New Roman" w:cstheme="minorHAnsi"/>
          <w:i w:val="0"/>
          <w:sz w:val="22"/>
          <w:szCs w:val="22"/>
          <w:lang w:eastAsia="en-AU"/>
        </w:rPr>
        <w:t>;</w:t>
      </w:r>
    </w:p>
    <w:p w:rsidR="002A50D5" w:rsidRPr="0019492F" w:rsidRDefault="008A7C6C" w:rsidP="009F5B2C">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p</w:t>
      </w:r>
      <w:r w:rsidR="002A50D5" w:rsidRPr="0019492F">
        <w:rPr>
          <w:rFonts w:eastAsia="Times New Roman" w:cstheme="minorHAnsi"/>
          <w:i w:val="0"/>
          <w:sz w:val="22"/>
          <w:szCs w:val="22"/>
          <w:lang w:eastAsia="en-AU"/>
        </w:rPr>
        <w:t>eople management skills</w:t>
      </w:r>
      <w:r w:rsidRPr="0019492F">
        <w:rPr>
          <w:rFonts w:eastAsia="Times New Roman" w:cstheme="minorHAnsi"/>
          <w:i w:val="0"/>
          <w:sz w:val="22"/>
          <w:szCs w:val="22"/>
          <w:lang w:eastAsia="en-AU"/>
        </w:rPr>
        <w:t>;</w:t>
      </w:r>
    </w:p>
    <w:p w:rsidR="002A50D5" w:rsidRPr="0019492F" w:rsidRDefault="008A7C6C" w:rsidP="009F5B2C">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d</w:t>
      </w:r>
      <w:r w:rsidR="002A50D5" w:rsidRPr="0019492F">
        <w:rPr>
          <w:rFonts w:eastAsia="Times New Roman" w:cstheme="minorHAnsi"/>
          <w:i w:val="0"/>
          <w:sz w:val="22"/>
          <w:szCs w:val="22"/>
          <w:lang w:eastAsia="en-AU"/>
        </w:rPr>
        <w:t>elegation</w:t>
      </w:r>
      <w:r w:rsidRPr="0019492F">
        <w:rPr>
          <w:rFonts w:eastAsia="Times New Roman" w:cstheme="minorHAnsi"/>
          <w:i w:val="0"/>
          <w:sz w:val="22"/>
          <w:szCs w:val="22"/>
          <w:lang w:eastAsia="en-AU"/>
        </w:rPr>
        <w:t>;</w:t>
      </w:r>
    </w:p>
    <w:p w:rsidR="002A50D5" w:rsidRPr="0019492F" w:rsidRDefault="008A7C6C" w:rsidP="009F5B2C">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t</w:t>
      </w:r>
      <w:r w:rsidR="002A50D5" w:rsidRPr="0019492F">
        <w:rPr>
          <w:rFonts w:eastAsia="Times New Roman" w:cstheme="minorHAnsi"/>
          <w:i w:val="0"/>
          <w:sz w:val="22"/>
          <w:szCs w:val="22"/>
          <w:lang w:eastAsia="en-AU"/>
        </w:rPr>
        <w:t>ransition to management</w:t>
      </w:r>
      <w:r w:rsidRPr="0019492F">
        <w:rPr>
          <w:rFonts w:eastAsia="Times New Roman" w:cstheme="minorHAnsi"/>
          <w:i w:val="0"/>
          <w:sz w:val="22"/>
          <w:szCs w:val="22"/>
          <w:lang w:eastAsia="en-AU"/>
        </w:rPr>
        <w:t>;</w:t>
      </w:r>
    </w:p>
    <w:p w:rsidR="002A50D5" w:rsidRPr="0019492F" w:rsidRDefault="008A7C6C"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w:t>
      </w:r>
      <w:r w:rsidR="002A50D5" w:rsidRPr="0019492F">
        <w:rPr>
          <w:rFonts w:eastAsia="Times New Roman" w:cstheme="minorHAnsi"/>
          <w:i w:val="0"/>
          <w:sz w:val="22"/>
          <w:szCs w:val="22"/>
          <w:lang w:eastAsia="en-AU"/>
        </w:rPr>
        <w:t>anaging change</w:t>
      </w:r>
      <w:r w:rsidRPr="0019492F">
        <w:rPr>
          <w:rFonts w:eastAsia="Times New Roman" w:cstheme="minorHAnsi"/>
          <w:i w:val="0"/>
          <w:sz w:val="22"/>
          <w:szCs w:val="22"/>
          <w:lang w:eastAsia="en-AU"/>
        </w:rPr>
        <w:t>;</w:t>
      </w:r>
    </w:p>
    <w:p w:rsidR="002A50D5" w:rsidRPr="0019492F" w:rsidRDefault="008A7C6C"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lastRenderedPageBreak/>
        <w:t>g</w:t>
      </w:r>
      <w:r w:rsidR="002A50D5" w:rsidRPr="0019492F">
        <w:rPr>
          <w:rFonts w:eastAsia="Times New Roman" w:cstheme="minorHAnsi"/>
          <w:i w:val="0"/>
          <w:sz w:val="22"/>
          <w:szCs w:val="22"/>
          <w:lang w:eastAsia="en-AU"/>
        </w:rPr>
        <w:t>enerational issues</w:t>
      </w:r>
      <w:r w:rsidRPr="0019492F">
        <w:rPr>
          <w:rFonts w:eastAsia="Times New Roman" w:cstheme="minorHAnsi"/>
          <w:i w:val="0"/>
          <w:sz w:val="22"/>
          <w:szCs w:val="22"/>
          <w:lang w:eastAsia="en-AU"/>
        </w:rPr>
        <w:t>;</w:t>
      </w:r>
    </w:p>
    <w:p w:rsidR="002A50D5" w:rsidRPr="0019492F" w:rsidRDefault="008A7C6C"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e</w:t>
      </w:r>
      <w:r w:rsidR="002A50D5" w:rsidRPr="0019492F">
        <w:rPr>
          <w:rFonts w:eastAsia="Times New Roman" w:cstheme="minorHAnsi"/>
          <w:i w:val="0"/>
          <w:sz w:val="22"/>
          <w:szCs w:val="22"/>
          <w:lang w:eastAsia="en-AU"/>
        </w:rPr>
        <w:t>ffective meetings</w:t>
      </w:r>
      <w:r w:rsidRPr="0019492F">
        <w:rPr>
          <w:rFonts w:eastAsia="Times New Roman" w:cstheme="minorHAnsi"/>
          <w:i w:val="0"/>
          <w:sz w:val="22"/>
          <w:szCs w:val="22"/>
          <w:lang w:eastAsia="en-AU"/>
        </w:rPr>
        <w:t>;</w:t>
      </w:r>
    </w:p>
    <w:p w:rsidR="002A50D5" w:rsidRPr="0019492F" w:rsidRDefault="008A7C6C"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t</w:t>
      </w:r>
      <w:r w:rsidR="002A50D5" w:rsidRPr="0019492F">
        <w:rPr>
          <w:rFonts w:eastAsia="Times New Roman" w:cstheme="minorHAnsi"/>
          <w:i w:val="0"/>
          <w:sz w:val="22"/>
          <w:szCs w:val="22"/>
          <w:lang w:eastAsia="en-AU"/>
        </w:rPr>
        <w:t>eam development</w:t>
      </w:r>
      <w:r w:rsidRPr="0019492F">
        <w:rPr>
          <w:rFonts w:eastAsia="Times New Roman" w:cstheme="minorHAnsi"/>
          <w:i w:val="0"/>
          <w:sz w:val="22"/>
          <w:szCs w:val="22"/>
          <w:lang w:eastAsia="en-AU"/>
        </w:rPr>
        <w:t>; and</w:t>
      </w:r>
    </w:p>
    <w:p w:rsidR="002A50D5" w:rsidRPr="0019492F" w:rsidRDefault="008A7C6C" w:rsidP="0019492F">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19492F">
        <w:rPr>
          <w:rFonts w:eastAsia="Times New Roman" w:cstheme="minorHAnsi"/>
          <w:i w:val="0"/>
          <w:sz w:val="22"/>
          <w:szCs w:val="22"/>
          <w:lang w:eastAsia="en-AU"/>
        </w:rPr>
        <w:t>m</w:t>
      </w:r>
      <w:r w:rsidR="002A50D5" w:rsidRPr="0019492F">
        <w:rPr>
          <w:rFonts w:eastAsia="Times New Roman" w:cstheme="minorHAnsi"/>
          <w:i w:val="0"/>
          <w:sz w:val="22"/>
          <w:szCs w:val="22"/>
          <w:lang w:eastAsia="en-AU"/>
        </w:rPr>
        <w:t>otivation</w:t>
      </w:r>
      <w:proofErr w:type="gramEnd"/>
      <w:r w:rsidRPr="0019492F">
        <w:rPr>
          <w:rFonts w:eastAsia="Times New Roman" w:cstheme="minorHAnsi"/>
          <w:i w:val="0"/>
          <w:sz w:val="22"/>
          <w:szCs w:val="22"/>
          <w:lang w:eastAsia="en-AU"/>
        </w:rPr>
        <w:t>.</w:t>
      </w:r>
    </w:p>
    <w:p w:rsidR="002A50D5" w:rsidRDefault="002A50D5" w:rsidP="002A50D5">
      <w:pPr>
        <w:spacing w:before="240" w:after="120" w:line="240" w:lineRule="auto"/>
        <w:rPr>
          <w:rFonts w:cstheme="minorHAnsi"/>
          <w:i w:val="0"/>
          <w:sz w:val="22"/>
          <w:szCs w:val="22"/>
        </w:rPr>
      </w:pPr>
      <w:r>
        <w:rPr>
          <w:rFonts w:cstheme="minorHAnsi"/>
          <w:i w:val="0"/>
          <w:sz w:val="22"/>
          <w:szCs w:val="22"/>
        </w:rPr>
        <w:t xml:space="preserve">The </w:t>
      </w:r>
      <w:r w:rsidRPr="002A50D5">
        <w:rPr>
          <w:rFonts w:cstheme="minorHAnsi"/>
          <w:sz w:val="22"/>
          <w:szCs w:val="22"/>
        </w:rPr>
        <w:t>2014 Working for Queensland Employee Opinion Survey</w:t>
      </w:r>
      <w:r>
        <w:rPr>
          <w:rFonts w:cstheme="minorHAnsi"/>
          <w:i w:val="0"/>
          <w:sz w:val="22"/>
          <w:szCs w:val="22"/>
        </w:rPr>
        <w:t xml:space="preserve"> was completed following the conclusion of this program and the difference in participant responses was notable. Highlights from the survey </w:t>
      </w:r>
      <w:r w:rsidR="009A4581">
        <w:rPr>
          <w:rFonts w:cstheme="minorHAnsi"/>
          <w:i w:val="0"/>
          <w:sz w:val="22"/>
          <w:szCs w:val="22"/>
        </w:rPr>
        <w:t>include:</w:t>
      </w:r>
    </w:p>
    <w:p w:rsidR="002A50D5" w:rsidRPr="0019492F" w:rsidRDefault="002A50D5"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ADCQ ranked in the number 1 quintile across all workplace factors</w:t>
      </w:r>
      <w:r w:rsidR="008A7C6C" w:rsidRPr="0019492F">
        <w:rPr>
          <w:rFonts w:eastAsia="Times New Roman" w:cstheme="minorHAnsi"/>
          <w:i w:val="0"/>
          <w:sz w:val="22"/>
          <w:szCs w:val="22"/>
          <w:lang w:eastAsia="en-AU"/>
        </w:rPr>
        <w:t>.</w:t>
      </w:r>
    </w:p>
    <w:p w:rsidR="002A50D5" w:rsidRPr="0019492F" w:rsidRDefault="00D367E9"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Organisational trust increased by 22%</w:t>
      </w:r>
      <w:r w:rsidR="008A7C6C" w:rsidRPr="0019492F">
        <w:rPr>
          <w:rFonts w:eastAsia="Times New Roman" w:cstheme="minorHAnsi"/>
          <w:i w:val="0"/>
          <w:sz w:val="22"/>
          <w:szCs w:val="22"/>
          <w:lang w:eastAsia="en-AU"/>
        </w:rPr>
        <w:t>.</w:t>
      </w:r>
    </w:p>
    <w:p w:rsidR="00D367E9" w:rsidRPr="009F5B2C" w:rsidRDefault="00D367E9" w:rsidP="0019492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Employee satisfaction with the supervision and leadership of their direct line manager improved</w:t>
      </w:r>
      <w:r w:rsidRPr="009F5B2C">
        <w:rPr>
          <w:rFonts w:eastAsia="Times New Roman" w:cstheme="minorHAnsi"/>
          <w:i w:val="0"/>
          <w:sz w:val="22"/>
          <w:szCs w:val="22"/>
          <w:lang w:eastAsia="en-AU"/>
        </w:rPr>
        <w:t xml:space="preserve"> by 19% and satisfaction with overall organisational leadership improved by 18%</w:t>
      </w:r>
      <w:r w:rsidR="002F3BB0" w:rsidRPr="009F5B2C">
        <w:rPr>
          <w:rFonts w:eastAsia="Times New Roman" w:cstheme="minorHAnsi"/>
          <w:i w:val="0"/>
          <w:sz w:val="22"/>
          <w:szCs w:val="22"/>
          <w:lang w:eastAsia="en-AU"/>
        </w:rPr>
        <w:t>.</w:t>
      </w:r>
    </w:p>
    <w:p w:rsidR="002A50D5" w:rsidRPr="002A50D5" w:rsidRDefault="00D367E9" w:rsidP="002A50D5">
      <w:pPr>
        <w:spacing w:before="240" w:after="120" w:line="240" w:lineRule="auto"/>
        <w:rPr>
          <w:rFonts w:cstheme="minorHAnsi"/>
          <w:i w:val="0"/>
          <w:sz w:val="22"/>
          <w:szCs w:val="22"/>
        </w:rPr>
      </w:pPr>
      <w:r>
        <w:rPr>
          <w:rFonts w:cstheme="minorHAnsi"/>
          <w:i w:val="0"/>
          <w:sz w:val="22"/>
          <w:szCs w:val="22"/>
        </w:rPr>
        <w:t xml:space="preserve">The response rate for the survey was 97%. </w:t>
      </w:r>
      <w:r w:rsidR="002A50D5" w:rsidRPr="00A63103">
        <w:rPr>
          <w:rFonts w:cstheme="minorHAnsi"/>
          <w:i w:val="0"/>
          <w:sz w:val="22"/>
          <w:szCs w:val="22"/>
        </w:rPr>
        <w:t xml:space="preserve">The full summary of the ADCQ’s performance in the survey can be found at Appendix </w:t>
      </w:r>
      <w:r w:rsidR="00A63103" w:rsidRPr="00A63103">
        <w:rPr>
          <w:rFonts w:cstheme="minorHAnsi"/>
          <w:i w:val="0"/>
          <w:sz w:val="22"/>
          <w:szCs w:val="22"/>
        </w:rPr>
        <w:t>F</w:t>
      </w:r>
      <w:r w:rsidR="009A4581">
        <w:rPr>
          <w:rFonts w:cstheme="minorHAnsi"/>
          <w:i w:val="0"/>
          <w:sz w:val="22"/>
          <w:szCs w:val="22"/>
        </w:rPr>
        <w:t>.</w:t>
      </w:r>
    </w:p>
    <w:p w:rsidR="00C9506D" w:rsidRPr="00A817D3" w:rsidRDefault="00C9506D" w:rsidP="00565444">
      <w:pPr>
        <w:pStyle w:val="Heading2"/>
        <w:rPr>
          <w:i/>
        </w:rPr>
      </w:pPr>
      <w:r w:rsidRPr="00A817D3">
        <w:t>Shared services</w:t>
      </w:r>
    </w:p>
    <w:p w:rsidR="00F55346" w:rsidRPr="002F3BB0" w:rsidRDefault="00F55346" w:rsidP="00193378">
      <w:pPr>
        <w:spacing w:after="240" w:line="240" w:lineRule="auto"/>
        <w:rPr>
          <w:rFonts w:ascii="Arial" w:hAnsi="Arial" w:cs="Arial"/>
          <w:i w:val="0"/>
          <w:sz w:val="22"/>
          <w:szCs w:val="22"/>
        </w:rPr>
      </w:pPr>
      <w:r w:rsidRPr="002F3BB0">
        <w:rPr>
          <w:rFonts w:ascii="Arial" w:hAnsi="Arial" w:cs="Arial"/>
          <w:i w:val="0"/>
          <w:sz w:val="22"/>
          <w:szCs w:val="22"/>
        </w:rPr>
        <w:t>The ADCQ has service level agreements with the Department of Justice and Attorney-General and Queensland Shared Services for the provision of financial, human resource, internal audit and processing services. These arrangements benefit the ADCQ by providing a cost-effective processing environment and access to a greater range of skills than it can maintain internally given its size, and allows the organisation to focus on core business.</w:t>
      </w:r>
      <w:bookmarkStart w:id="37" w:name="_Toc240787700"/>
      <w:bookmarkStart w:id="38" w:name="_Toc243284326"/>
    </w:p>
    <w:p w:rsidR="00C9506D" w:rsidRPr="002F3BB0" w:rsidRDefault="00F55346" w:rsidP="00565444">
      <w:pPr>
        <w:pStyle w:val="Heading2"/>
        <w:rPr>
          <w:i/>
        </w:rPr>
      </w:pPr>
      <w:r w:rsidRPr="002F3BB0">
        <w:t>S</w:t>
      </w:r>
      <w:r w:rsidR="00C9506D" w:rsidRPr="002F3BB0">
        <w:t xml:space="preserve">tatutory </w:t>
      </w:r>
      <w:bookmarkEnd w:id="37"/>
      <w:r w:rsidR="00C9506D" w:rsidRPr="002F3BB0">
        <w:t>obligations</w:t>
      </w:r>
      <w:bookmarkEnd w:id="38"/>
    </w:p>
    <w:p w:rsidR="00F55346" w:rsidRPr="00193378" w:rsidRDefault="00F55346" w:rsidP="00565444">
      <w:pPr>
        <w:pStyle w:val="Heading3"/>
        <w:rPr>
          <w:i/>
        </w:rPr>
      </w:pPr>
      <w:r w:rsidRPr="00193378">
        <w:t>Ethical behaviour</w:t>
      </w:r>
    </w:p>
    <w:p w:rsidR="00F55346" w:rsidRPr="002F3BB0" w:rsidRDefault="00F55346" w:rsidP="00193378">
      <w:pPr>
        <w:spacing w:after="240" w:line="240" w:lineRule="auto"/>
        <w:rPr>
          <w:rFonts w:ascii="Arial" w:hAnsi="Arial" w:cs="Arial"/>
          <w:i w:val="0"/>
          <w:sz w:val="22"/>
          <w:szCs w:val="22"/>
        </w:rPr>
      </w:pPr>
      <w:r w:rsidRPr="002F3BB0">
        <w:rPr>
          <w:rFonts w:ascii="Arial" w:hAnsi="Arial" w:cs="Arial"/>
          <w:i w:val="0"/>
          <w:sz w:val="22"/>
          <w:szCs w:val="22"/>
        </w:rPr>
        <w:t xml:space="preserve">Prior to 1 June 2011 the ADCQ developed a Code of Conduct in accordance with the requirements of the </w:t>
      </w:r>
      <w:r w:rsidRPr="002F3BB0">
        <w:rPr>
          <w:rFonts w:ascii="Arial" w:hAnsi="Arial" w:cs="Arial"/>
          <w:sz w:val="22"/>
          <w:szCs w:val="22"/>
        </w:rPr>
        <w:t>Public Service Ethics Act 1994</w:t>
      </w:r>
      <w:r w:rsidRPr="002F3BB0">
        <w:rPr>
          <w:rFonts w:ascii="Arial" w:hAnsi="Arial" w:cs="Arial"/>
          <w:i w:val="0"/>
          <w:sz w:val="22"/>
          <w:szCs w:val="22"/>
        </w:rPr>
        <w:t>. The code provided guidance on the way staff should behave in the workplace, and when representing the ADCQ outside the workplace, clearly explaining the standard of conduct expected of all employees.</w:t>
      </w:r>
    </w:p>
    <w:p w:rsidR="00F55346" w:rsidRPr="002F3BB0" w:rsidRDefault="00F55346" w:rsidP="00193378">
      <w:pPr>
        <w:spacing w:after="240" w:line="240" w:lineRule="auto"/>
        <w:rPr>
          <w:rFonts w:ascii="Arial" w:hAnsi="Arial" w:cs="Arial"/>
          <w:i w:val="0"/>
          <w:sz w:val="22"/>
          <w:szCs w:val="22"/>
        </w:rPr>
      </w:pPr>
      <w:r w:rsidRPr="002F3BB0">
        <w:rPr>
          <w:rFonts w:ascii="Arial" w:hAnsi="Arial" w:cs="Arial"/>
          <w:i w:val="0"/>
          <w:sz w:val="22"/>
          <w:szCs w:val="22"/>
        </w:rPr>
        <w:t xml:space="preserve">Amendments to the </w:t>
      </w:r>
      <w:r w:rsidRPr="002F3BB0">
        <w:rPr>
          <w:rFonts w:ascii="Arial" w:hAnsi="Arial" w:cs="Arial"/>
          <w:sz w:val="22"/>
          <w:szCs w:val="22"/>
        </w:rPr>
        <w:t>Public Service Ethics Act 1994</w:t>
      </w:r>
      <w:r w:rsidRPr="002F3BB0">
        <w:rPr>
          <w:rFonts w:ascii="Arial" w:hAnsi="Arial" w:cs="Arial"/>
          <w:i w:val="0"/>
          <w:sz w:val="22"/>
          <w:szCs w:val="22"/>
        </w:rPr>
        <w:t xml:space="preserve"> (PSEA) in 2010 included the introduction of the </w:t>
      </w:r>
      <w:r w:rsidRPr="002F3BB0">
        <w:rPr>
          <w:rFonts w:ascii="Arial" w:hAnsi="Arial" w:cs="Arial"/>
          <w:sz w:val="22"/>
          <w:szCs w:val="22"/>
        </w:rPr>
        <w:t>Code of Conduct for the Queensland Public Service</w:t>
      </w:r>
      <w:r w:rsidRPr="002F3BB0">
        <w:rPr>
          <w:rFonts w:ascii="Arial" w:hAnsi="Arial" w:cs="Arial"/>
          <w:i w:val="0"/>
          <w:sz w:val="22"/>
          <w:szCs w:val="22"/>
        </w:rPr>
        <w:t xml:space="preserve"> (the Code), applicable to all public service agencies.  The </w:t>
      </w:r>
      <w:r w:rsidRPr="002F3BB0">
        <w:rPr>
          <w:rFonts w:ascii="Arial" w:hAnsi="Arial" w:cs="Arial"/>
          <w:sz w:val="22"/>
          <w:szCs w:val="22"/>
        </w:rPr>
        <w:t xml:space="preserve">Public Sector Ethics Amendment Regulation </w:t>
      </w:r>
      <w:r w:rsidRPr="002F3BB0">
        <w:rPr>
          <w:rFonts w:ascii="Arial" w:hAnsi="Arial" w:cs="Arial"/>
          <w:i w:val="0"/>
          <w:sz w:val="22"/>
          <w:szCs w:val="22"/>
        </w:rPr>
        <w:t>(No. 1) 2011 included the ADCQ in the definition of a public service agency, meaning that the Code applie</w:t>
      </w:r>
      <w:r w:rsidR="009A4581">
        <w:rPr>
          <w:rFonts w:ascii="Arial" w:hAnsi="Arial" w:cs="Arial"/>
          <w:i w:val="0"/>
          <w:sz w:val="22"/>
          <w:szCs w:val="22"/>
        </w:rPr>
        <w:t>d to the ADCQ from 1 June 2011.</w:t>
      </w:r>
    </w:p>
    <w:p w:rsidR="00F55346" w:rsidRPr="002F3BB0" w:rsidRDefault="00E55356" w:rsidP="00193378">
      <w:pPr>
        <w:spacing w:after="240" w:line="240" w:lineRule="auto"/>
        <w:rPr>
          <w:rFonts w:ascii="Arial" w:hAnsi="Arial" w:cs="Arial"/>
          <w:i w:val="0"/>
          <w:sz w:val="22"/>
          <w:szCs w:val="22"/>
        </w:rPr>
      </w:pPr>
      <w:r>
        <w:rPr>
          <w:rFonts w:ascii="Arial" w:hAnsi="Arial" w:cs="Arial"/>
          <w:i w:val="0"/>
          <w:sz w:val="22"/>
          <w:szCs w:val="22"/>
        </w:rPr>
        <w:t>During 2013-14 the C</w:t>
      </w:r>
      <w:r w:rsidR="000B3FCF" w:rsidRPr="002F3BB0">
        <w:rPr>
          <w:rFonts w:ascii="Arial" w:hAnsi="Arial" w:cs="Arial"/>
          <w:i w:val="0"/>
          <w:sz w:val="22"/>
          <w:szCs w:val="22"/>
        </w:rPr>
        <w:t xml:space="preserve">ommission delivered a Leadership and Management Development program to current and aspiring managers.  The program covered roles, responsibilities, values and the development of a positive culture within the workplace founded on principles of fairness, inclusion and ethical behaviour.  The content of this program was disseminated by participants to the rest of the staff.  New </w:t>
      </w:r>
      <w:proofErr w:type="gramStart"/>
      <w:r w:rsidR="000B3FCF" w:rsidRPr="002F3BB0">
        <w:rPr>
          <w:rFonts w:ascii="Arial" w:hAnsi="Arial" w:cs="Arial"/>
          <w:i w:val="0"/>
          <w:sz w:val="22"/>
          <w:szCs w:val="22"/>
        </w:rPr>
        <w:t>staff are</w:t>
      </w:r>
      <w:proofErr w:type="gramEnd"/>
      <w:r w:rsidR="000B3FCF" w:rsidRPr="002F3BB0">
        <w:rPr>
          <w:rFonts w:ascii="Arial" w:hAnsi="Arial" w:cs="Arial"/>
          <w:i w:val="0"/>
          <w:sz w:val="22"/>
          <w:szCs w:val="22"/>
        </w:rPr>
        <w:t xml:space="preserve"> guided by managers through an induction program where the requirements of the Code of Conduct and the PSEA are covered.</w:t>
      </w:r>
    </w:p>
    <w:p w:rsidR="00F55346" w:rsidRPr="002F3BB0" w:rsidRDefault="00F55346" w:rsidP="00193378">
      <w:pPr>
        <w:spacing w:after="240" w:line="240" w:lineRule="auto"/>
        <w:rPr>
          <w:rFonts w:ascii="Arial" w:hAnsi="Arial" w:cs="Arial"/>
          <w:i w:val="0"/>
          <w:sz w:val="22"/>
          <w:szCs w:val="22"/>
        </w:rPr>
      </w:pPr>
      <w:r w:rsidRPr="002F3BB0">
        <w:rPr>
          <w:rFonts w:ascii="Arial" w:hAnsi="Arial" w:cs="Arial"/>
          <w:i w:val="0"/>
          <w:sz w:val="22"/>
          <w:szCs w:val="22"/>
        </w:rPr>
        <w:t>The Code applies to every person employed by the ADCQ and breaches of the Code may be subject to appropriate disciplinary action as outlined in the</w:t>
      </w:r>
      <w:r w:rsidRPr="002F3BB0">
        <w:rPr>
          <w:rFonts w:ascii="Arial" w:hAnsi="Arial" w:cs="Arial"/>
          <w:sz w:val="22"/>
          <w:szCs w:val="22"/>
        </w:rPr>
        <w:t xml:space="preserve"> Public Service Act 2008.</w:t>
      </w:r>
    </w:p>
    <w:p w:rsidR="00FE675E" w:rsidRDefault="00FE675E">
      <w:pPr>
        <w:rPr>
          <w:rFonts w:cstheme="minorHAnsi"/>
          <w:b/>
          <w:i w:val="0"/>
          <w:sz w:val="22"/>
          <w:szCs w:val="22"/>
        </w:rPr>
      </w:pPr>
      <w:bookmarkStart w:id="39" w:name="_Toc240787701"/>
      <w:bookmarkStart w:id="40" w:name="_Toc243284327"/>
      <w:r>
        <w:rPr>
          <w:rFonts w:cstheme="minorHAnsi"/>
          <w:b/>
          <w:i w:val="0"/>
          <w:sz w:val="22"/>
          <w:szCs w:val="22"/>
        </w:rPr>
        <w:br w:type="page"/>
      </w:r>
    </w:p>
    <w:p w:rsidR="00C9506D" w:rsidRPr="002F3BB0" w:rsidRDefault="00C9506D" w:rsidP="00565444">
      <w:pPr>
        <w:pStyle w:val="Heading3"/>
        <w:rPr>
          <w:i/>
        </w:rPr>
      </w:pPr>
      <w:r w:rsidRPr="002F3BB0">
        <w:lastRenderedPageBreak/>
        <w:t>Information systems and recordkeeping</w:t>
      </w:r>
      <w:bookmarkEnd w:id="39"/>
      <w:bookmarkEnd w:id="40"/>
    </w:p>
    <w:p w:rsidR="00F55346" w:rsidRPr="002F3BB0" w:rsidRDefault="00F55346" w:rsidP="004B42DF">
      <w:pPr>
        <w:spacing w:after="0" w:line="240" w:lineRule="auto"/>
        <w:rPr>
          <w:rFonts w:ascii="Arial" w:hAnsi="Arial" w:cs="Arial"/>
          <w:i w:val="0"/>
          <w:sz w:val="22"/>
          <w:szCs w:val="22"/>
        </w:rPr>
      </w:pPr>
      <w:r w:rsidRPr="002F3BB0">
        <w:rPr>
          <w:rFonts w:ascii="Arial" w:hAnsi="Arial" w:cs="Arial"/>
          <w:i w:val="0"/>
          <w:sz w:val="22"/>
          <w:szCs w:val="22"/>
        </w:rPr>
        <w:t xml:space="preserve">The ADCQ recognises the significant value of its information resources to the achievement of corporate goals. Controls are implemented and monitored to safeguard the integrity, availability and confidentiality of information in order to maintain business continuity. Recordkeeping policies and systems meet the accountability requirements of the </w:t>
      </w:r>
      <w:r w:rsidRPr="002F3BB0">
        <w:rPr>
          <w:rFonts w:ascii="Arial" w:hAnsi="Arial" w:cs="Arial"/>
          <w:sz w:val="22"/>
          <w:szCs w:val="22"/>
        </w:rPr>
        <w:t>Public Records Act 2002</w:t>
      </w:r>
      <w:r w:rsidRPr="002F3BB0">
        <w:rPr>
          <w:rFonts w:ascii="Arial" w:hAnsi="Arial" w:cs="Arial"/>
          <w:i w:val="0"/>
          <w:sz w:val="22"/>
          <w:szCs w:val="22"/>
        </w:rPr>
        <w:t xml:space="preserve">, as well as other whole-of-government policies and standards, including </w:t>
      </w:r>
      <w:r w:rsidRPr="00D87458">
        <w:rPr>
          <w:rFonts w:ascii="Arial" w:hAnsi="Arial" w:cs="Arial"/>
          <w:sz w:val="22"/>
          <w:szCs w:val="22"/>
        </w:rPr>
        <w:t>Informat</w:t>
      </w:r>
      <w:r w:rsidR="009A4581" w:rsidRPr="00D87458">
        <w:rPr>
          <w:rFonts w:ascii="Arial" w:hAnsi="Arial" w:cs="Arial"/>
          <w:sz w:val="22"/>
          <w:szCs w:val="22"/>
        </w:rPr>
        <w:t>ion Standard 40: Recordkeeping.</w:t>
      </w:r>
    </w:p>
    <w:p w:rsidR="00C9506D" w:rsidRPr="002F3BB0" w:rsidRDefault="00C9506D" w:rsidP="00565444">
      <w:pPr>
        <w:pStyle w:val="Heading3"/>
        <w:rPr>
          <w:i/>
        </w:rPr>
      </w:pPr>
      <w:bookmarkStart w:id="41" w:name="_Toc240787703"/>
      <w:bookmarkStart w:id="42" w:name="_Toc243284329"/>
      <w:r w:rsidRPr="002F3BB0">
        <w:t xml:space="preserve">Internal and external </w:t>
      </w:r>
      <w:bookmarkEnd w:id="41"/>
      <w:r w:rsidRPr="002F3BB0">
        <w:t>audit</w:t>
      </w:r>
      <w:bookmarkEnd w:id="42"/>
    </w:p>
    <w:p w:rsidR="00F55346" w:rsidRPr="002F3BB0" w:rsidRDefault="00F55346" w:rsidP="00193378">
      <w:pPr>
        <w:spacing w:before="120" w:after="240" w:line="240" w:lineRule="auto"/>
        <w:rPr>
          <w:rFonts w:ascii="Arial" w:hAnsi="Arial" w:cs="Arial"/>
          <w:i w:val="0"/>
          <w:sz w:val="22"/>
          <w:szCs w:val="22"/>
        </w:rPr>
      </w:pPr>
      <w:r w:rsidRPr="002F3BB0">
        <w:rPr>
          <w:rFonts w:ascii="Arial" w:hAnsi="Arial" w:cs="Arial"/>
          <w:i w:val="0"/>
          <w:sz w:val="22"/>
          <w:szCs w:val="22"/>
        </w:rPr>
        <w:t xml:space="preserve">Internal audit services are provided to the ADCQ under a service level agreement with the Department of Justice and Attorney-General. The size of the ADCQ is such that a formal Audit Committee is not required. The responsibilities associated with internal audit and the maintenance of an appropriate internal control framework </w:t>
      </w:r>
      <w:proofErr w:type="gramStart"/>
      <w:r w:rsidRPr="002F3BB0">
        <w:rPr>
          <w:rFonts w:ascii="Arial" w:hAnsi="Arial" w:cs="Arial"/>
          <w:i w:val="0"/>
          <w:sz w:val="22"/>
          <w:szCs w:val="22"/>
        </w:rPr>
        <w:t>are</w:t>
      </w:r>
      <w:proofErr w:type="gramEnd"/>
      <w:r w:rsidRPr="002F3BB0">
        <w:rPr>
          <w:rFonts w:ascii="Arial" w:hAnsi="Arial" w:cs="Arial"/>
          <w:i w:val="0"/>
          <w:sz w:val="22"/>
          <w:szCs w:val="22"/>
        </w:rPr>
        <w:t xml:space="preserve"> discharged by the Executive Leadership Team.</w:t>
      </w:r>
    </w:p>
    <w:p w:rsidR="00F55346" w:rsidRPr="00193378" w:rsidRDefault="00F55346" w:rsidP="00193378">
      <w:pPr>
        <w:spacing w:before="120" w:after="240" w:line="240" w:lineRule="auto"/>
        <w:rPr>
          <w:rFonts w:ascii="Arial" w:hAnsi="Arial" w:cs="Arial"/>
          <w:i w:val="0"/>
          <w:sz w:val="22"/>
          <w:szCs w:val="22"/>
        </w:rPr>
      </w:pPr>
      <w:r w:rsidRPr="002F3BB0">
        <w:rPr>
          <w:rFonts w:ascii="Arial" w:hAnsi="Arial" w:cs="Arial"/>
          <w:i w:val="0"/>
          <w:sz w:val="22"/>
          <w:szCs w:val="22"/>
        </w:rPr>
        <w:t>A copy of the external audit report and certificate of our financial statements are supplied with this report. The Auditor-General’s delegate has provided an unqualified certificate indicating the ADCQ’s compliance with financial management requirements and the accuracy and fairness of the financial statements.</w:t>
      </w:r>
    </w:p>
    <w:p w:rsidR="00F55346" w:rsidRPr="002F3BB0" w:rsidRDefault="00C9506D" w:rsidP="002C413F">
      <w:pPr>
        <w:pStyle w:val="Heading2"/>
        <w:rPr>
          <w:rFonts w:ascii="Arial" w:hAnsi="Arial" w:cs="Arial"/>
        </w:rPr>
      </w:pPr>
      <w:r w:rsidRPr="002F3BB0">
        <w:t>Risk management</w:t>
      </w:r>
      <w:r w:rsidR="00F55346" w:rsidRPr="002F3BB0">
        <w:rPr>
          <w:rFonts w:ascii="Arial" w:hAnsi="Arial" w:cs="Arial"/>
        </w:rPr>
        <w:t xml:space="preserve"> </w:t>
      </w:r>
    </w:p>
    <w:p w:rsidR="00F55346" w:rsidRPr="002F3BB0" w:rsidRDefault="00F55346" w:rsidP="004B42DF">
      <w:pPr>
        <w:spacing w:after="120" w:line="240" w:lineRule="auto"/>
        <w:rPr>
          <w:rFonts w:ascii="Arial" w:hAnsi="Arial" w:cs="Arial"/>
          <w:i w:val="0"/>
          <w:sz w:val="22"/>
          <w:szCs w:val="22"/>
        </w:rPr>
      </w:pPr>
      <w:r w:rsidRPr="002F3BB0">
        <w:rPr>
          <w:rFonts w:ascii="Arial" w:hAnsi="Arial" w:cs="Arial"/>
          <w:i w:val="0"/>
          <w:sz w:val="22"/>
          <w:szCs w:val="22"/>
        </w:rPr>
        <w:t>The ADCQ’s risk management framework ensures risk is managed as an integral part of decision-making, planning and service delivery. This practice aims to reduce vulnerability to internal and external incidents that limit the ADCQ’s ability to achieve strategic objectives and deliver services to the community. Key aspects of the risk management framework include:</w:t>
      </w:r>
    </w:p>
    <w:p w:rsidR="00F55346" w:rsidRPr="0019492F" w:rsidRDefault="00F55346" w:rsidP="004B42D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maintenance of an effective system of internal control;</w:t>
      </w:r>
    </w:p>
    <w:p w:rsidR="00F55346" w:rsidRPr="0019492F" w:rsidRDefault="00F55346" w:rsidP="004B42D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regular reporting of identified risks to the Executive Leadership Team;</w:t>
      </w:r>
    </w:p>
    <w:p w:rsidR="00F55346" w:rsidRPr="0019492F" w:rsidRDefault="00F55346" w:rsidP="004B42D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physical security of ADCQ assets including security access to premises;</w:t>
      </w:r>
    </w:p>
    <w:p w:rsidR="00F55346" w:rsidRPr="0019492F" w:rsidRDefault="00F55346" w:rsidP="004B42D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maintenance of security over access to information through network security;</w:t>
      </w:r>
    </w:p>
    <w:p w:rsidR="00F55346" w:rsidRPr="0019492F" w:rsidRDefault="00F55346" w:rsidP="004B42DF">
      <w:pPr>
        <w:numPr>
          <w:ilvl w:val="0"/>
          <w:numId w:val="13"/>
        </w:numPr>
        <w:spacing w:before="120" w:after="0" w:line="240" w:lineRule="auto"/>
        <w:ind w:left="357" w:hanging="357"/>
        <w:rPr>
          <w:rFonts w:eastAsia="Times New Roman" w:cstheme="minorHAnsi"/>
          <w:i w:val="0"/>
          <w:sz w:val="22"/>
          <w:szCs w:val="22"/>
          <w:lang w:eastAsia="en-AU"/>
        </w:rPr>
      </w:pPr>
      <w:r w:rsidRPr="0019492F">
        <w:rPr>
          <w:rFonts w:eastAsia="Times New Roman" w:cstheme="minorHAnsi"/>
          <w:i w:val="0"/>
          <w:sz w:val="22"/>
          <w:szCs w:val="22"/>
          <w:lang w:eastAsia="en-AU"/>
        </w:rPr>
        <w:t>investment in new information technology infrastructure;</w:t>
      </w:r>
      <w:r w:rsidR="008A7C6C" w:rsidRPr="0019492F">
        <w:rPr>
          <w:rFonts w:eastAsia="Times New Roman" w:cstheme="minorHAnsi"/>
          <w:i w:val="0"/>
          <w:sz w:val="22"/>
          <w:szCs w:val="22"/>
          <w:lang w:eastAsia="en-AU"/>
        </w:rPr>
        <w:t xml:space="preserve"> and</w:t>
      </w:r>
    </w:p>
    <w:p w:rsidR="00F55346" w:rsidRPr="0019492F" w:rsidRDefault="00F55346" w:rsidP="004B42DF">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19492F">
        <w:rPr>
          <w:rFonts w:eastAsia="Times New Roman" w:cstheme="minorHAnsi"/>
          <w:i w:val="0"/>
          <w:sz w:val="22"/>
          <w:szCs w:val="22"/>
          <w:lang w:eastAsia="en-AU"/>
        </w:rPr>
        <w:t>media</w:t>
      </w:r>
      <w:proofErr w:type="gramEnd"/>
      <w:r w:rsidRPr="0019492F">
        <w:rPr>
          <w:rFonts w:eastAsia="Times New Roman" w:cstheme="minorHAnsi"/>
          <w:i w:val="0"/>
          <w:sz w:val="22"/>
          <w:szCs w:val="22"/>
          <w:lang w:eastAsia="en-AU"/>
        </w:rPr>
        <w:t xml:space="preserve"> monitoring and risk evaluation.</w:t>
      </w:r>
    </w:p>
    <w:p w:rsidR="00F55346" w:rsidRPr="002F3BB0" w:rsidRDefault="00F55346" w:rsidP="004B42DF">
      <w:pPr>
        <w:spacing w:before="240" w:after="240" w:line="240" w:lineRule="auto"/>
        <w:rPr>
          <w:rFonts w:ascii="Arial" w:hAnsi="Arial" w:cs="Arial"/>
          <w:i w:val="0"/>
          <w:sz w:val="22"/>
          <w:szCs w:val="22"/>
        </w:rPr>
      </w:pPr>
      <w:r w:rsidRPr="002F3BB0">
        <w:rPr>
          <w:rFonts w:ascii="Arial" w:hAnsi="Arial" w:cs="Arial"/>
          <w:i w:val="0"/>
          <w:sz w:val="22"/>
          <w:szCs w:val="22"/>
        </w:rPr>
        <w:t>The standar</w:t>
      </w:r>
      <w:r w:rsidR="00E55356">
        <w:rPr>
          <w:rFonts w:ascii="Arial" w:hAnsi="Arial" w:cs="Arial"/>
          <w:i w:val="0"/>
          <w:sz w:val="22"/>
          <w:szCs w:val="22"/>
        </w:rPr>
        <w:t>d operating environment of the C</w:t>
      </w:r>
      <w:r w:rsidRPr="002F3BB0">
        <w:rPr>
          <w:rFonts w:ascii="Arial" w:hAnsi="Arial" w:cs="Arial"/>
          <w:i w:val="0"/>
          <w:sz w:val="22"/>
          <w:szCs w:val="22"/>
        </w:rPr>
        <w:t>ommission is Windows 7 and Office 2010 and all core software is supported by appropriate support agreement</w:t>
      </w:r>
      <w:r w:rsidR="00E55356">
        <w:rPr>
          <w:rFonts w:ascii="Arial" w:hAnsi="Arial" w:cs="Arial"/>
          <w:i w:val="0"/>
          <w:sz w:val="22"/>
          <w:szCs w:val="22"/>
        </w:rPr>
        <w:t>s and software assurance.  The C</w:t>
      </w:r>
      <w:r w:rsidRPr="002F3BB0">
        <w:rPr>
          <w:rFonts w:ascii="Arial" w:hAnsi="Arial" w:cs="Arial"/>
          <w:i w:val="0"/>
          <w:sz w:val="22"/>
          <w:szCs w:val="22"/>
        </w:rPr>
        <w:t>ommission has migrated from desktops to laptops to reduce costs, enhance mobility and allow for business continuity in the event of natural disasters.</w:t>
      </w:r>
    </w:p>
    <w:p w:rsidR="00F55346" w:rsidRPr="002F3BB0" w:rsidRDefault="00F55346" w:rsidP="004B42DF">
      <w:pPr>
        <w:spacing w:after="0" w:line="240" w:lineRule="auto"/>
        <w:rPr>
          <w:rFonts w:ascii="Arial" w:hAnsi="Arial" w:cs="Arial"/>
          <w:i w:val="0"/>
          <w:sz w:val="22"/>
          <w:szCs w:val="22"/>
        </w:rPr>
      </w:pPr>
      <w:r w:rsidRPr="002F3BB0">
        <w:rPr>
          <w:rFonts w:ascii="Arial" w:hAnsi="Arial" w:cs="Arial"/>
          <w:i w:val="0"/>
          <w:sz w:val="22"/>
          <w:szCs w:val="22"/>
        </w:rPr>
        <w:t>The responsibilities associated with risk management are discharged by the Executive Leadership Team.</w:t>
      </w:r>
    </w:p>
    <w:p w:rsidR="00C9506D" w:rsidRPr="002F3BB0" w:rsidRDefault="00C9506D" w:rsidP="002C413F">
      <w:pPr>
        <w:pStyle w:val="Heading2"/>
      </w:pPr>
      <w:bookmarkStart w:id="43" w:name="_Toc240787705"/>
      <w:bookmarkStart w:id="44" w:name="_Toc243284331"/>
      <w:r w:rsidRPr="002F3BB0">
        <w:t>Consultancies</w:t>
      </w:r>
      <w:bookmarkEnd w:id="43"/>
      <w:bookmarkEnd w:id="44"/>
    </w:p>
    <w:p w:rsidR="00F55346" w:rsidRPr="002F3BB0" w:rsidRDefault="00F55346" w:rsidP="004B42DF">
      <w:pPr>
        <w:spacing w:after="0" w:line="240" w:lineRule="auto"/>
        <w:rPr>
          <w:rFonts w:ascii="Arial" w:hAnsi="Arial" w:cs="Arial"/>
          <w:i w:val="0"/>
          <w:sz w:val="22"/>
          <w:szCs w:val="22"/>
        </w:rPr>
      </w:pPr>
      <w:r w:rsidRPr="002F3BB0">
        <w:rPr>
          <w:rFonts w:ascii="Arial" w:hAnsi="Arial" w:cs="Arial"/>
          <w:i w:val="0"/>
          <w:sz w:val="22"/>
          <w:szCs w:val="22"/>
        </w:rPr>
        <w:t>The ADCQ did not engage any consultants during 2013</w:t>
      </w:r>
      <w:r w:rsidR="00BD357E">
        <w:rPr>
          <w:rFonts w:ascii="Arial" w:hAnsi="Arial" w:cs="Arial"/>
          <w:i w:val="0"/>
          <w:sz w:val="22"/>
          <w:szCs w:val="22"/>
        </w:rPr>
        <w:t>-</w:t>
      </w:r>
      <w:r w:rsidR="009A4581">
        <w:rPr>
          <w:rFonts w:ascii="Arial" w:hAnsi="Arial" w:cs="Arial"/>
          <w:i w:val="0"/>
          <w:sz w:val="22"/>
          <w:szCs w:val="22"/>
        </w:rPr>
        <w:t>4.</w:t>
      </w:r>
    </w:p>
    <w:p w:rsidR="00C9506D" w:rsidRPr="002F3BB0" w:rsidRDefault="00C9506D" w:rsidP="002C413F">
      <w:pPr>
        <w:pStyle w:val="Heading2"/>
      </w:pPr>
      <w:r w:rsidRPr="002F3BB0">
        <w:t>Early retirement, redundancy and retrenchment</w:t>
      </w:r>
    </w:p>
    <w:p w:rsidR="00FC0572" w:rsidRPr="002F3BB0" w:rsidRDefault="00F55346" w:rsidP="004B42DF">
      <w:pPr>
        <w:spacing w:after="0" w:line="240" w:lineRule="auto"/>
        <w:rPr>
          <w:rFonts w:ascii="Arial" w:hAnsi="Arial" w:cs="Arial"/>
          <w:i w:val="0"/>
          <w:sz w:val="22"/>
          <w:szCs w:val="22"/>
        </w:rPr>
      </w:pPr>
      <w:r w:rsidRPr="002F3BB0">
        <w:rPr>
          <w:rFonts w:ascii="Arial" w:hAnsi="Arial" w:cs="Arial"/>
          <w:i w:val="0"/>
          <w:sz w:val="22"/>
          <w:szCs w:val="22"/>
        </w:rPr>
        <w:t>The ADCQ made no payments of this nature during 2013</w:t>
      </w:r>
      <w:r w:rsidR="005F18E1">
        <w:rPr>
          <w:rFonts w:ascii="Arial" w:hAnsi="Arial" w:cs="Arial"/>
          <w:i w:val="0"/>
          <w:sz w:val="22"/>
          <w:szCs w:val="22"/>
        </w:rPr>
        <w:t>-</w:t>
      </w:r>
      <w:r w:rsidR="00D87458">
        <w:rPr>
          <w:rFonts w:ascii="Arial" w:hAnsi="Arial" w:cs="Arial"/>
          <w:i w:val="0"/>
          <w:sz w:val="22"/>
          <w:szCs w:val="22"/>
        </w:rPr>
        <w:t>1</w:t>
      </w:r>
      <w:r w:rsidRPr="002F3BB0">
        <w:rPr>
          <w:rFonts w:ascii="Arial" w:hAnsi="Arial" w:cs="Arial"/>
          <w:i w:val="0"/>
          <w:sz w:val="22"/>
          <w:szCs w:val="22"/>
        </w:rPr>
        <w:t>4.</w:t>
      </w:r>
    </w:p>
    <w:p w:rsidR="00F55346" w:rsidRPr="004B42DF" w:rsidRDefault="00FC0572" w:rsidP="002C413F">
      <w:pPr>
        <w:pStyle w:val="Heading2"/>
      </w:pPr>
      <w:r w:rsidRPr="004B42DF">
        <w:t>Queensland Cultural Diversity Policy</w:t>
      </w:r>
      <w:r w:rsidR="00F55346" w:rsidRPr="004B42DF">
        <w:t xml:space="preserve"> </w:t>
      </w:r>
    </w:p>
    <w:p w:rsidR="00F55346" w:rsidRPr="002F3BB0" w:rsidRDefault="00FC0572" w:rsidP="004B42DF">
      <w:pPr>
        <w:spacing w:before="120" w:after="240" w:line="240" w:lineRule="auto"/>
        <w:rPr>
          <w:rFonts w:cstheme="minorHAnsi"/>
          <w:i w:val="0"/>
          <w:sz w:val="22"/>
          <w:szCs w:val="22"/>
        </w:rPr>
      </w:pPr>
      <w:r w:rsidRPr="002F3BB0">
        <w:rPr>
          <w:rFonts w:cstheme="minorHAnsi"/>
          <w:i w:val="0"/>
          <w:sz w:val="22"/>
          <w:szCs w:val="22"/>
        </w:rPr>
        <w:t xml:space="preserve">Information on ADCQ’s implementation of the core outcome regarding </w:t>
      </w:r>
      <w:proofErr w:type="gramStart"/>
      <w:r w:rsidRPr="002F3BB0">
        <w:rPr>
          <w:rFonts w:cstheme="minorHAnsi"/>
          <w:sz w:val="22"/>
          <w:szCs w:val="22"/>
        </w:rPr>
        <w:t>Improved</w:t>
      </w:r>
      <w:proofErr w:type="gramEnd"/>
      <w:r w:rsidRPr="002F3BB0">
        <w:rPr>
          <w:rFonts w:cstheme="minorHAnsi"/>
          <w:sz w:val="22"/>
          <w:szCs w:val="22"/>
        </w:rPr>
        <w:t xml:space="preserve"> access to interpreters for clients when accessing services</w:t>
      </w:r>
      <w:r w:rsidRPr="002F3BB0">
        <w:rPr>
          <w:rFonts w:cstheme="minorHAnsi"/>
          <w:i w:val="0"/>
          <w:sz w:val="22"/>
          <w:szCs w:val="22"/>
        </w:rPr>
        <w:t xml:space="preserve"> during the reporting period is available via </w:t>
      </w:r>
      <w:r w:rsidR="00D87458">
        <w:rPr>
          <w:rFonts w:cstheme="minorHAnsi"/>
          <w:i w:val="0"/>
          <w:sz w:val="22"/>
          <w:szCs w:val="22"/>
        </w:rPr>
        <w:t>https://data.qld.gov.au</w:t>
      </w:r>
      <w:r w:rsidRPr="002F3BB0">
        <w:rPr>
          <w:rFonts w:cstheme="minorHAnsi"/>
          <w:i w:val="0"/>
          <w:sz w:val="22"/>
          <w:szCs w:val="22"/>
        </w:rPr>
        <w:t>.</w:t>
      </w:r>
    </w:p>
    <w:p w:rsidR="00FC0572" w:rsidRPr="002F3BB0" w:rsidRDefault="00FC0572" w:rsidP="004B42DF">
      <w:pPr>
        <w:spacing w:before="120" w:after="240" w:line="240" w:lineRule="auto"/>
        <w:rPr>
          <w:rFonts w:cstheme="minorHAnsi"/>
          <w:b/>
          <w:i w:val="0"/>
          <w:sz w:val="22"/>
          <w:szCs w:val="22"/>
        </w:rPr>
      </w:pPr>
    </w:p>
    <w:p w:rsidR="00E371F5" w:rsidRPr="002F3BB0" w:rsidRDefault="00E371F5" w:rsidP="00F155D5">
      <w:pPr>
        <w:pStyle w:val="Heading1"/>
        <w:pageBreakBefore/>
        <w:rPr>
          <w:rFonts w:asciiTheme="minorHAnsi" w:eastAsia="Times New Roman" w:hAnsiTheme="minorHAnsi" w:cstheme="minorHAnsi"/>
          <w:i w:val="0"/>
          <w:color w:val="auto"/>
          <w:lang w:eastAsia="en-AU"/>
        </w:rPr>
      </w:pPr>
      <w:bookmarkStart w:id="45" w:name="_Toc240787706"/>
      <w:bookmarkStart w:id="46" w:name="_Toc242069892"/>
      <w:bookmarkStart w:id="47" w:name="_Toc243284332"/>
      <w:bookmarkStart w:id="48" w:name="_Toc366487307"/>
      <w:bookmarkStart w:id="49" w:name="_Toc397345685"/>
      <w:bookmarkEnd w:id="35"/>
      <w:bookmarkEnd w:id="36"/>
      <w:r w:rsidRPr="002F3BB0">
        <w:rPr>
          <w:rFonts w:asciiTheme="minorHAnsi" w:eastAsia="Times New Roman" w:hAnsiTheme="minorHAnsi" w:cstheme="minorHAnsi"/>
          <w:i w:val="0"/>
          <w:color w:val="auto"/>
          <w:lang w:eastAsia="en-AU"/>
        </w:rPr>
        <w:lastRenderedPageBreak/>
        <w:t>Summary of financial information</w:t>
      </w:r>
      <w:bookmarkEnd w:id="45"/>
      <w:bookmarkEnd w:id="46"/>
      <w:bookmarkEnd w:id="47"/>
      <w:bookmarkEnd w:id="48"/>
      <w:bookmarkEnd w:id="49"/>
    </w:p>
    <w:p w:rsidR="00C9506D" w:rsidRPr="002F3BB0" w:rsidRDefault="00677CC6" w:rsidP="002C413F">
      <w:pPr>
        <w:pStyle w:val="Heading2"/>
      </w:pPr>
      <w:bookmarkStart w:id="50" w:name="_Toc240787707"/>
      <w:bookmarkStart w:id="51" w:name="_Toc243284333"/>
      <w:bookmarkStart w:id="52" w:name="_Toc243207816"/>
      <w:bookmarkStart w:id="53" w:name="_Toc240787709"/>
      <w:r w:rsidRPr="002F3BB0">
        <w:t>O</w:t>
      </w:r>
      <w:r w:rsidR="00C9506D" w:rsidRPr="002F3BB0">
        <w:t>verview</w:t>
      </w:r>
      <w:bookmarkEnd w:id="50"/>
      <w:bookmarkEnd w:id="51"/>
    </w:p>
    <w:p w:rsidR="00F55346" w:rsidRPr="002F3BB0" w:rsidRDefault="00F55346" w:rsidP="00BF1570">
      <w:pPr>
        <w:spacing w:after="120" w:line="240" w:lineRule="auto"/>
        <w:rPr>
          <w:rFonts w:ascii="Arial" w:hAnsi="Arial" w:cs="Arial"/>
          <w:i w:val="0"/>
          <w:sz w:val="22"/>
          <w:szCs w:val="22"/>
        </w:rPr>
      </w:pPr>
      <w:r w:rsidRPr="002F3BB0">
        <w:rPr>
          <w:rFonts w:ascii="Arial" w:hAnsi="Arial" w:cs="Arial"/>
          <w:i w:val="0"/>
          <w:sz w:val="22"/>
          <w:szCs w:val="22"/>
        </w:rPr>
        <w:t>The operating result for the ADCQ for 2013</w:t>
      </w:r>
      <w:r w:rsidR="00D87458">
        <w:rPr>
          <w:rFonts w:ascii="Arial" w:hAnsi="Arial" w:cs="Arial"/>
          <w:i w:val="0"/>
          <w:sz w:val="22"/>
          <w:szCs w:val="22"/>
        </w:rPr>
        <w:t>-</w:t>
      </w:r>
      <w:r w:rsidRPr="002F3BB0">
        <w:rPr>
          <w:rFonts w:ascii="Arial" w:hAnsi="Arial" w:cs="Arial"/>
          <w:i w:val="0"/>
          <w:sz w:val="22"/>
          <w:szCs w:val="22"/>
        </w:rPr>
        <w:t>14 was a small deficit of approximately $75 000.  This aligned</w:t>
      </w:r>
      <w:r w:rsidR="00E55356">
        <w:rPr>
          <w:rFonts w:ascii="Arial" w:hAnsi="Arial" w:cs="Arial"/>
          <w:i w:val="0"/>
          <w:sz w:val="22"/>
          <w:szCs w:val="22"/>
        </w:rPr>
        <w:t xml:space="preserve"> with expectations because the C</w:t>
      </w:r>
      <w:r w:rsidRPr="002F3BB0">
        <w:rPr>
          <w:rFonts w:ascii="Arial" w:hAnsi="Arial" w:cs="Arial"/>
          <w:i w:val="0"/>
          <w:sz w:val="22"/>
          <w:szCs w:val="22"/>
        </w:rPr>
        <w:t>ommission incurred expenses for one off items which were best funded from retained earnings.  The major items that contributed to the deficit were:</w:t>
      </w:r>
    </w:p>
    <w:p w:rsidR="00F55346" w:rsidRPr="00BF1570" w:rsidRDefault="008A7C6C" w:rsidP="00BF1570">
      <w:pPr>
        <w:numPr>
          <w:ilvl w:val="0"/>
          <w:numId w:val="13"/>
        </w:numPr>
        <w:spacing w:before="120" w:after="0" w:line="240" w:lineRule="auto"/>
        <w:ind w:left="357" w:hanging="357"/>
        <w:rPr>
          <w:rFonts w:eastAsia="Times New Roman" w:cstheme="minorHAnsi"/>
          <w:i w:val="0"/>
          <w:sz w:val="22"/>
          <w:szCs w:val="22"/>
          <w:lang w:eastAsia="en-AU"/>
        </w:rPr>
      </w:pPr>
      <w:r w:rsidRPr="00BF1570">
        <w:rPr>
          <w:rFonts w:eastAsia="Times New Roman" w:cstheme="minorHAnsi"/>
          <w:i w:val="0"/>
          <w:sz w:val="22"/>
          <w:szCs w:val="22"/>
          <w:lang w:eastAsia="en-AU"/>
        </w:rPr>
        <w:t>r</w:t>
      </w:r>
      <w:r w:rsidR="00F55346" w:rsidRPr="00BF1570">
        <w:rPr>
          <w:rFonts w:eastAsia="Times New Roman" w:cstheme="minorHAnsi"/>
          <w:i w:val="0"/>
          <w:sz w:val="22"/>
          <w:szCs w:val="22"/>
          <w:lang w:eastAsia="en-AU"/>
        </w:rPr>
        <w:t>ecurrent costs associated with the relocation of regional offices - $32</w:t>
      </w:r>
      <w:r w:rsidRPr="00BF1570">
        <w:rPr>
          <w:rFonts w:eastAsia="Times New Roman" w:cstheme="minorHAnsi"/>
          <w:i w:val="0"/>
          <w:sz w:val="22"/>
          <w:szCs w:val="22"/>
          <w:lang w:eastAsia="en-AU"/>
        </w:rPr>
        <w:t>,</w:t>
      </w:r>
      <w:r w:rsidR="00F55346" w:rsidRPr="00BF1570">
        <w:rPr>
          <w:rFonts w:eastAsia="Times New Roman" w:cstheme="minorHAnsi"/>
          <w:i w:val="0"/>
          <w:sz w:val="22"/>
          <w:szCs w:val="22"/>
          <w:lang w:eastAsia="en-AU"/>
        </w:rPr>
        <w:t>000;</w:t>
      </w:r>
    </w:p>
    <w:p w:rsidR="00F55346" w:rsidRPr="00BF1570" w:rsidRDefault="008A7C6C" w:rsidP="00BF1570">
      <w:pPr>
        <w:numPr>
          <w:ilvl w:val="0"/>
          <w:numId w:val="13"/>
        </w:numPr>
        <w:spacing w:before="120" w:after="0" w:line="240" w:lineRule="auto"/>
        <w:ind w:left="357" w:hanging="357"/>
        <w:rPr>
          <w:rFonts w:eastAsia="Times New Roman" w:cstheme="minorHAnsi"/>
          <w:i w:val="0"/>
          <w:sz w:val="22"/>
          <w:szCs w:val="22"/>
          <w:lang w:eastAsia="en-AU"/>
        </w:rPr>
      </w:pPr>
      <w:r w:rsidRPr="00BF1570">
        <w:rPr>
          <w:rFonts w:eastAsia="Times New Roman" w:cstheme="minorHAnsi"/>
          <w:i w:val="0"/>
          <w:sz w:val="22"/>
          <w:szCs w:val="22"/>
          <w:lang w:eastAsia="en-AU"/>
        </w:rPr>
        <w:t>c</w:t>
      </w:r>
      <w:r w:rsidR="00F55346" w:rsidRPr="00BF1570">
        <w:rPr>
          <w:rFonts w:eastAsia="Times New Roman" w:cstheme="minorHAnsi"/>
          <w:i w:val="0"/>
          <w:sz w:val="22"/>
          <w:szCs w:val="22"/>
          <w:lang w:eastAsia="en-AU"/>
        </w:rPr>
        <w:t>osts associated with removal of an exemption for payroll tax - $28</w:t>
      </w:r>
      <w:r w:rsidRPr="00BF1570">
        <w:rPr>
          <w:rFonts w:eastAsia="Times New Roman" w:cstheme="minorHAnsi"/>
          <w:i w:val="0"/>
          <w:sz w:val="22"/>
          <w:szCs w:val="22"/>
          <w:lang w:eastAsia="en-AU"/>
        </w:rPr>
        <w:t>,</w:t>
      </w:r>
      <w:r w:rsidR="00F55346" w:rsidRPr="00BF1570">
        <w:rPr>
          <w:rFonts w:eastAsia="Times New Roman" w:cstheme="minorHAnsi"/>
          <w:i w:val="0"/>
          <w:sz w:val="22"/>
          <w:szCs w:val="22"/>
          <w:lang w:eastAsia="en-AU"/>
        </w:rPr>
        <w:t>000;</w:t>
      </w:r>
      <w:r w:rsidRPr="00BF1570">
        <w:rPr>
          <w:rFonts w:eastAsia="Times New Roman" w:cstheme="minorHAnsi"/>
          <w:i w:val="0"/>
          <w:sz w:val="22"/>
          <w:szCs w:val="22"/>
          <w:lang w:eastAsia="en-AU"/>
        </w:rPr>
        <w:t xml:space="preserve"> and</w:t>
      </w:r>
    </w:p>
    <w:p w:rsidR="00F55346" w:rsidRPr="00BF1570" w:rsidRDefault="008A7C6C" w:rsidP="00BF1570">
      <w:pPr>
        <w:numPr>
          <w:ilvl w:val="0"/>
          <w:numId w:val="13"/>
        </w:numPr>
        <w:spacing w:before="120" w:after="0" w:line="240" w:lineRule="auto"/>
        <w:ind w:left="357" w:hanging="357"/>
        <w:rPr>
          <w:rFonts w:eastAsia="Times New Roman" w:cstheme="minorHAnsi"/>
          <w:i w:val="0"/>
          <w:sz w:val="22"/>
          <w:szCs w:val="22"/>
          <w:lang w:eastAsia="en-AU"/>
        </w:rPr>
      </w:pPr>
      <w:proofErr w:type="gramStart"/>
      <w:r w:rsidRPr="00BF1570">
        <w:rPr>
          <w:rFonts w:eastAsia="Times New Roman" w:cstheme="minorHAnsi"/>
          <w:i w:val="0"/>
          <w:sz w:val="22"/>
          <w:szCs w:val="22"/>
          <w:lang w:eastAsia="en-AU"/>
        </w:rPr>
        <w:t>c</w:t>
      </w:r>
      <w:r w:rsidR="00F55346" w:rsidRPr="00BF1570">
        <w:rPr>
          <w:rFonts w:eastAsia="Times New Roman" w:cstheme="minorHAnsi"/>
          <w:i w:val="0"/>
          <w:sz w:val="22"/>
          <w:szCs w:val="22"/>
          <w:lang w:eastAsia="en-AU"/>
        </w:rPr>
        <w:t>osts</w:t>
      </w:r>
      <w:proofErr w:type="gramEnd"/>
      <w:r w:rsidR="00F55346" w:rsidRPr="00BF1570">
        <w:rPr>
          <w:rFonts w:eastAsia="Times New Roman" w:cstheme="minorHAnsi"/>
          <w:i w:val="0"/>
          <w:sz w:val="22"/>
          <w:szCs w:val="22"/>
          <w:lang w:eastAsia="en-AU"/>
        </w:rPr>
        <w:t xml:space="preserve"> associated with hosting the </w:t>
      </w:r>
      <w:proofErr w:type="spellStart"/>
      <w:r w:rsidR="00F55346" w:rsidRPr="00BF1570">
        <w:rPr>
          <w:rFonts w:eastAsia="Times New Roman" w:cstheme="minorHAnsi"/>
          <w:i w:val="0"/>
          <w:sz w:val="22"/>
          <w:szCs w:val="22"/>
          <w:lang w:eastAsia="en-AU"/>
        </w:rPr>
        <w:t>Mabo</w:t>
      </w:r>
      <w:proofErr w:type="spellEnd"/>
      <w:r w:rsidR="00F55346" w:rsidRPr="00BF1570">
        <w:rPr>
          <w:rFonts w:eastAsia="Times New Roman" w:cstheme="minorHAnsi"/>
          <w:i w:val="0"/>
          <w:sz w:val="22"/>
          <w:szCs w:val="22"/>
          <w:lang w:eastAsia="en-AU"/>
        </w:rPr>
        <w:t xml:space="preserve"> Oration - $12</w:t>
      </w:r>
      <w:r w:rsidRPr="00BF1570">
        <w:rPr>
          <w:rFonts w:eastAsia="Times New Roman" w:cstheme="minorHAnsi"/>
          <w:i w:val="0"/>
          <w:sz w:val="22"/>
          <w:szCs w:val="22"/>
          <w:lang w:eastAsia="en-AU"/>
        </w:rPr>
        <w:t>,</w:t>
      </w:r>
      <w:r w:rsidR="00F55346" w:rsidRPr="00BF1570">
        <w:rPr>
          <w:rFonts w:eastAsia="Times New Roman" w:cstheme="minorHAnsi"/>
          <w:i w:val="0"/>
          <w:sz w:val="22"/>
          <w:szCs w:val="22"/>
          <w:lang w:eastAsia="en-AU"/>
        </w:rPr>
        <w:t>000.</w:t>
      </w:r>
    </w:p>
    <w:p w:rsidR="00F55346" w:rsidRPr="002F3BB0" w:rsidRDefault="009A4581" w:rsidP="00BF1570">
      <w:pPr>
        <w:spacing w:before="240" w:after="240" w:line="240" w:lineRule="auto"/>
        <w:rPr>
          <w:rFonts w:ascii="Arial" w:hAnsi="Arial" w:cs="Arial"/>
          <w:i w:val="0"/>
          <w:sz w:val="22"/>
          <w:szCs w:val="22"/>
        </w:rPr>
      </w:pPr>
      <w:r>
        <w:rPr>
          <w:rFonts w:ascii="Arial" w:hAnsi="Arial" w:cs="Arial"/>
          <w:i w:val="0"/>
          <w:sz w:val="22"/>
          <w:szCs w:val="22"/>
        </w:rPr>
        <w:t>Overall the result was sound.</w:t>
      </w:r>
    </w:p>
    <w:p w:rsidR="00F55346" w:rsidRPr="002F3BB0" w:rsidRDefault="00F55346" w:rsidP="00BF1570">
      <w:pPr>
        <w:spacing w:after="120" w:line="240" w:lineRule="auto"/>
        <w:rPr>
          <w:rFonts w:ascii="Arial" w:hAnsi="Arial" w:cs="Arial"/>
          <w:i w:val="0"/>
          <w:sz w:val="22"/>
          <w:szCs w:val="22"/>
        </w:rPr>
      </w:pPr>
      <w:r w:rsidRPr="002F3BB0">
        <w:rPr>
          <w:rFonts w:ascii="Arial" w:hAnsi="Arial" w:cs="Arial"/>
          <w:i w:val="0"/>
          <w:sz w:val="22"/>
          <w:szCs w:val="22"/>
        </w:rPr>
        <w:t>The major activities undertaken during the year include:</w:t>
      </w:r>
    </w:p>
    <w:p w:rsidR="00F55346" w:rsidRPr="00BF1570" w:rsidRDefault="00543B11" w:rsidP="00BF1570">
      <w:pPr>
        <w:numPr>
          <w:ilvl w:val="0"/>
          <w:numId w:val="13"/>
        </w:numPr>
        <w:spacing w:before="120" w:after="0" w:line="240" w:lineRule="auto"/>
        <w:ind w:left="357" w:hanging="357"/>
        <w:rPr>
          <w:rFonts w:eastAsia="Times New Roman" w:cstheme="minorHAnsi"/>
          <w:i w:val="0"/>
          <w:sz w:val="22"/>
          <w:szCs w:val="22"/>
          <w:lang w:eastAsia="en-AU"/>
        </w:rPr>
      </w:pPr>
      <w:r w:rsidRPr="00BF1570">
        <w:rPr>
          <w:rFonts w:eastAsia="Times New Roman" w:cstheme="minorHAnsi"/>
          <w:i w:val="0"/>
          <w:sz w:val="22"/>
          <w:szCs w:val="22"/>
          <w:lang w:eastAsia="en-AU"/>
        </w:rPr>
        <w:t>d</w:t>
      </w:r>
      <w:r w:rsidR="00F55346" w:rsidRPr="00BF1570">
        <w:rPr>
          <w:rFonts w:eastAsia="Times New Roman" w:cstheme="minorHAnsi"/>
          <w:i w:val="0"/>
          <w:sz w:val="22"/>
          <w:szCs w:val="22"/>
          <w:lang w:eastAsia="en-AU"/>
        </w:rPr>
        <w:t>evelopment of an online training package which was launched in June 2014;</w:t>
      </w:r>
    </w:p>
    <w:p w:rsidR="00F55346" w:rsidRPr="00BF1570" w:rsidRDefault="00543B11" w:rsidP="00BF1570">
      <w:pPr>
        <w:numPr>
          <w:ilvl w:val="0"/>
          <w:numId w:val="13"/>
        </w:numPr>
        <w:spacing w:before="120" w:after="0" w:line="240" w:lineRule="auto"/>
        <w:ind w:left="357" w:hanging="357"/>
        <w:rPr>
          <w:rFonts w:eastAsia="Times New Roman" w:cstheme="minorHAnsi"/>
          <w:i w:val="0"/>
          <w:sz w:val="22"/>
          <w:szCs w:val="22"/>
          <w:lang w:eastAsia="en-AU"/>
        </w:rPr>
      </w:pPr>
      <w:r w:rsidRPr="00BF1570">
        <w:rPr>
          <w:rFonts w:eastAsia="Times New Roman" w:cstheme="minorHAnsi"/>
          <w:i w:val="0"/>
          <w:sz w:val="22"/>
          <w:szCs w:val="22"/>
          <w:lang w:eastAsia="en-AU"/>
        </w:rPr>
        <w:t>f</w:t>
      </w:r>
      <w:r w:rsidR="00F55346" w:rsidRPr="00BF1570">
        <w:rPr>
          <w:rFonts w:eastAsia="Times New Roman" w:cstheme="minorHAnsi"/>
          <w:i w:val="0"/>
          <w:sz w:val="22"/>
          <w:szCs w:val="22"/>
          <w:lang w:eastAsia="en-AU"/>
        </w:rPr>
        <w:t>inalisation of phase one of the Schools Project with the release of materials aimed at equipping young people who are about to enter the workforce on their rights and responsibilities in the workplace;</w:t>
      </w:r>
    </w:p>
    <w:p w:rsidR="00F55346" w:rsidRPr="00BF1570" w:rsidRDefault="00543B11" w:rsidP="00BF1570">
      <w:pPr>
        <w:numPr>
          <w:ilvl w:val="0"/>
          <w:numId w:val="13"/>
        </w:numPr>
        <w:spacing w:before="120" w:after="0" w:line="240" w:lineRule="auto"/>
        <w:ind w:left="357" w:hanging="357"/>
        <w:rPr>
          <w:rFonts w:eastAsia="Times New Roman" w:cstheme="minorHAnsi"/>
          <w:i w:val="0"/>
          <w:sz w:val="22"/>
          <w:szCs w:val="22"/>
          <w:lang w:eastAsia="en-AU"/>
        </w:rPr>
      </w:pPr>
      <w:r w:rsidRPr="00BF1570">
        <w:rPr>
          <w:rFonts w:eastAsia="Times New Roman" w:cstheme="minorHAnsi"/>
          <w:i w:val="0"/>
          <w:sz w:val="22"/>
          <w:szCs w:val="22"/>
          <w:lang w:eastAsia="en-AU"/>
        </w:rPr>
        <w:t>c</w:t>
      </w:r>
      <w:r w:rsidR="0048759D" w:rsidRPr="00BF1570">
        <w:rPr>
          <w:rFonts w:eastAsia="Times New Roman" w:cstheme="minorHAnsi"/>
          <w:i w:val="0"/>
          <w:sz w:val="22"/>
          <w:szCs w:val="22"/>
          <w:lang w:eastAsia="en-AU"/>
        </w:rPr>
        <w:t xml:space="preserve">ontinuation of the </w:t>
      </w:r>
      <w:r w:rsidR="00F55346" w:rsidRPr="00BF1570">
        <w:rPr>
          <w:rFonts w:eastAsia="Times New Roman" w:cstheme="minorHAnsi"/>
          <w:i w:val="0"/>
          <w:sz w:val="22"/>
          <w:szCs w:val="22"/>
          <w:lang w:eastAsia="en-AU"/>
        </w:rPr>
        <w:t>Small Business Project aimed at developing resources to support small business operators to meet their obligations under the Act;</w:t>
      </w:r>
    </w:p>
    <w:p w:rsidR="00F55346" w:rsidRPr="00BF1570" w:rsidRDefault="00543B11" w:rsidP="00BF1570">
      <w:pPr>
        <w:numPr>
          <w:ilvl w:val="0"/>
          <w:numId w:val="13"/>
        </w:numPr>
        <w:spacing w:before="120" w:after="0" w:line="240" w:lineRule="auto"/>
        <w:ind w:left="357" w:hanging="357"/>
        <w:rPr>
          <w:rFonts w:eastAsia="Times New Roman" w:cstheme="minorHAnsi"/>
          <w:i w:val="0"/>
          <w:sz w:val="22"/>
          <w:szCs w:val="22"/>
          <w:lang w:eastAsia="en-AU"/>
        </w:rPr>
      </w:pPr>
      <w:r w:rsidRPr="00BF1570">
        <w:rPr>
          <w:rFonts w:eastAsia="Times New Roman" w:cstheme="minorHAnsi"/>
          <w:i w:val="0"/>
          <w:sz w:val="22"/>
          <w:szCs w:val="22"/>
          <w:lang w:eastAsia="en-AU"/>
        </w:rPr>
        <w:t>c</w:t>
      </w:r>
      <w:r w:rsidR="00F55346" w:rsidRPr="00BF1570">
        <w:rPr>
          <w:rFonts w:eastAsia="Times New Roman" w:cstheme="minorHAnsi"/>
          <w:i w:val="0"/>
          <w:sz w:val="22"/>
          <w:szCs w:val="22"/>
          <w:lang w:eastAsia="en-AU"/>
        </w:rPr>
        <w:t>ommissioning of a new office space in Townsville;</w:t>
      </w:r>
      <w:r w:rsidRPr="00BF1570">
        <w:rPr>
          <w:rFonts w:eastAsia="Times New Roman" w:cstheme="minorHAnsi"/>
          <w:i w:val="0"/>
          <w:sz w:val="22"/>
          <w:szCs w:val="22"/>
          <w:lang w:eastAsia="en-AU"/>
        </w:rPr>
        <w:t xml:space="preserve"> and</w:t>
      </w:r>
    </w:p>
    <w:p w:rsidR="00F55346" w:rsidRPr="002F3BB0" w:rsidRDefault="00F55346" w:rsidP="00BF1570">
      <w:pPr>
        <w:numPr>
          <w:ilvl w:val="0"/>
          <w:numId w:val="13"/>
        </w:numPr>
        <w:spacing w:before="120" w:after="0" w:line="240" w:lineRule="auto"/>
        <w:ind w:left="357" w:hanging="357"/>
        <w:rPr>
          <w:rFonts w:ascii="Arial" w:hAnsi="Arial" w:cs="Arial"/>
          <w:i w:val="0"/>
          <w:sz w:val="22"/>
          <w:szCs w:val="22"/>
        </w:rPr>
      </w:pPr>
      <w:proofErr w:type="gramStart"/>
      <w:r w:rsidRPr="00BF1570">
        <w:rPr>
          <w:rFonts w:eastAsia="Times New Roman" w:cstheme="minorHAnsi"/>
          <w:i w:val="0"/>
          <w:sz w:val="22"/>
          <w:szCs w:val="22"/>
          <w:lang w:eastAsia="en-AU"/>
        </w:rPr>
        <w:t>investing</w:t>
      </w:r>
      <w:proofErr w:type="gramEnd"/>
      <w:r w:rsidRPr="00BF1570">
        <w:rPr>
          <w:rFonts w:eastAsia="Times New Roman" w:cstheme="minorHAnsi"/>
          <w:i w:val="0"/>
          <w:sz w:val="22"/>
          <w:szCs w:val="22"/>
          <w:lang w:eastAsia="en-AU"/>
        </w:rPr>
        <w:t xml:space="preserve"> in the ICT network to provide sufficient capacity to support new technology and applications which</w:t>
      </w:r>
      <w:r w:rsidRPr="002F3BB0">
        <w:rPr>
          <w:rFonts w:ascii="Arial" w:hAnsi="Arial" w:cs="Arial"/>
          <w:i w:val="0"/>
          <w:sz w:val="22"/>
          <w:szCs w:val="22"/>
        </w:rPr>
        <w:t xml:space="preserve"> increase services and reduce costs.</w:t>
      </w:r>
    </w:p>
    <w:p w:rsidR="00F55346" w:rsidRPr="002F3BB0" w:rsidRDefault="00F55346" w:rsidP="00BF1570">
      <w:pPr>
        <w:spacing w:before="240" w:after="0" w:line="240" w:lineRule="auto"/>
        <w:rPr>
          <w:rFonts w:ascii="Arial" w:hAnsi="Arial" w:cs="Arial"/>
          <w:i w:val="0"/>
          <w:sz w:val="22"/>
          <w:szCs w:val="22"/>
        </w:rPr>
      </w:pPr>
      <w:r w:rsidRPr="002F3BB0">
        <w:rPr>
          <w:rFonts w:ascii="Arial" w:hAnsi="Arial" w:cs="Arial"/>
          <w:i w:val="0"/>
          <w:sz w:val="22"/>
          <w:szCs w:val="22"/>
        </w:rPr>
        <w:t>The financial effects of these major activities are provided in detail in the audited financial statements provided with this report and on the ADCQ’s</w:t>
      </w:r>
      <w:r w:rsidR="006F364D">
        <w:rPr>
          <w:rFonts w:ascii="Arial" w:hAnsi="Arial" w:cs="Arial"/>
          <w:i w:val="0"/>
          <w:sz w:val="22"/>
          <w:szCs w:val="22"/>
        </w:rPr>
        <w:t xml:space="preserve"> website (www.adcq.qld.gov.au).</w:t>
      </w:r>
    </w:p>
    <w:p w:rsidR="00743D8C" w:rsidRPr="002F3BB0" w:rsidRDefault="00C9506D" w:rsidP="002C413F">
      <w:pPr>
        <w:pStyle w:val="Heading2"/>
      </w:pPr>
      <w:bookmarkStart w:id="54" w:name="_Toc240787708"/>
      <w:bookmarkStart w:id="55" w:name="_Toc243284334"/>
      <w:r w:rsidRPr="002F3BB0">
        <w:t>The ADCQ’s financial position</w:t>
      </w:r>
      <w:bookmarkStart w:id="56" w:name="_Toc243284335"/>
      <w:bookmarkEnd w:id="54"/>
      <w:bookmarkEnd w:id="55"/>
    </w:p>
    <w:p w:rsidR="00F55346" w:rsidRPr="002F3BB0" w:rsidRDefault="00F55346" w:rsidP="00BF1570">
      <w:pPr>
        <w:spacing w:after="240" w:line="240" w:lineRule="auto"/>
        <w:rPr>
          <w:rFonts w:ascii="Arial" w:hAnsi="Arial" w:cs="Arial"/>
          <w:i w:val="0"/>
          <w:sz w:val="22"/>
          <w:szCs w:val="22"/>
        </w:rPr>
      </w:pPr>
      <w:r w:rsidRPr="002F3BB0">
        <w:rPr>
          <w:rFonts w:ascii="Arial" w:hAnsi="Arial" w:cs="Arial"/>
          <w:i w:val="0"/>
          <w:sz w:val="22"/>
          <w:szCs w:val="22"/>
        </w:rPr>
        <w:t xml:space="preserve">The financial position provides an indication of the ADCQ’s underlying financial health, or net worth, at 30 June 2014. This provides a measure of our equity level. ADCQ’s assets at 30 June 2014 were $2.4 million and liabilities were $0.9 million, resulting in a total equity of $1.5 million. The ADCQ’s financial position remains strong.  This small drop results from the small operating deficit achieved in 2013-14 to fund one-off costs such as office relocation and the </w:t>
      </w:r>
      <w:proofErr w:type="spellStart"/>
      <w:r w:rsidRPr="002F3BB0">
        <w:rPr>
          <w:rFonts w:ascii="Arial" w:hAnsi="Arial" w:cs="Arial"/>
          <w:i w:val="0"/>
          <w:sz w:val="22"/>
          <w:szCs w:val="22"/>
        </w:rPr>
        <w:t>Mabo</w:t>
      </w:r>
      <w:proofErr w:type="spellEnd"/>
      <w:r w:rsidRPr="002F3BB0">
        <w:rPr>
          <w:rFonts w:ascii="Arial" w:hAnsi="Arial" w:cs="Arial"/>
          <w:i w:val="0"/>
          <w:sz w:val="22"/>
          <w:szCs w:val="22"/>
        </w:rPr>
        <w:t xml:space="preserve"> Oration.</w:t>
      </w:r>
    </w:p>
    <w:p w:rsidR="003E7F73" w:rsidRPr="00BD357E" w:rsidRDefault="003E7F73" w:rsidP="00BF1570">
      <w:pPr>
        <w:pStyle w:val="Caption"/>
        <w:spacing w:before="240" w:after="240" w:line="240" w:lineRule="auto"/>
        <w:rPr>
          <w:rFonts w:cs="Arial"/>
          <w:i w:val="0"/>
          <w:sz w:val="20"/>
        </w:rPr>
      </w:pPr>
      <w:r w:rsidRPr="00BD357E">
        <w:rPr>
          <w:rFonts w:cs="Arial"/>
          <w:i w:val="0"/>
          <w:sz w:val="20"/>
        </w:rPr>
        <w:t xml:space="preserve">Graph </w:t>
      </w:r>
      <w:r w:rsidRPr="00BD357E">
        <w:rPr>
          <w:rFonts w:cs="Arial"/>
          <w:i w:val="0"/>
          <w:sz w:val="20"/>
        </w:rPr>
        <w:fldChar w:fldCharType="begin"/>
      </w:r>
      <w:r w:rsidRPr="00BD357E">
        <w:rPr>
          <w:rFonts w:cs="Arial"/>
          <w:i w:val="0"/>
          <w:sz w:val="20"/>
        </w:rPr>
        <w:instrText xml:space="preserve"> SEQ Graph \* ARABIC </w:instrText>
      </w:r>
      <w:r w:rsidRPr="00BD357E">
        <w:rPr>
          <w:rFonts w:cs="Arial"/>
          <w:i w:val="0"/>
          <w:sz w:val="20"/>
        </w:rPr>
        <w:fldChar w:fldCharType="separate"/>
      </w:r>
      <w:r w:rsidR="00860326">
        <w:rPr>
          <w:rFonts w:cs="Arial"/>
          <w:i w:val="0"/>
          <w:noProof/>
          <w:sz w:val="20"/>
        </w:rPr>
        <w:t>2</w:t>
      </w:r>
      <w:r w:rsidRPr="00BD357E">
        <w:rPr>
          <w:rFonts w:cs="Arial"/>
          <w:i w:val="0"/>
          <w:sz w:val="20"/>
        </w:rPr>
        <w:fldChar w:fldCharType="end"/>
      </w:r>
      <w:r w:rsidR="0033101E">
        <w:rPr>
          <w:rFonts w:cs="Arial"/>
          <w:i w:val="0"/>
          <w:sz w:val="20"/>
        </w:rPr>
        <w:t>:</w:t>
      </w:r>
      <w:r w:rsidR="00D87458">
        <w:rPr>
          <w:rFonts w:cs="Arial"/>
          <w:i w:val="0"/>
          <w:sz w:val="20"/>
        </w:rPr>
        <w:t xml:space="preserve"> </w:t>
      </w:r>
      <w:r w:rsidRPr="00BD357E">
        <w:rPr>
          <w:rFonts w:cs="Arial"/>
          <w:i w:val="0"/>
          <w:sz w:val="20"/>
        </w:rPr>
        <w:t>Net worth</w:t>
      </w:r>
    </w:p>
    <w:p w:rsidR="00743D8C" w:rsidRPr="002F3BB0" w:rsidRDefault="00F55346" w:rsidP="003E7F73">
      <w:pPr>
        <w:pStyle w:val="Caption"/>
        <w:jc w:val="center"/>
        <w:rPr>
          <w:rFonts w:cstheme="minorHAnsi"/>
          <w:b w:val="0"/>
          <w:i w:val="0"/>
          <w:sz w:val="22"/>
          <w:szCs w:val="22"/>
        </w:rPr>
      </w:pPr>
      <w:r w:rsidRPr="002F3BB0">
        <w:rPr>
          <w:noProof/>
          <w:lang w:eastAsia="en-AU"/>
        </w:rPr>
        <w:drawing>
          <wp:inline distT="0" distB="0" distL="0" distR="0" wp14:anchorId="0CACF81E" wp14:editId="62B748E0">
            <wp:extent cx="3962400" cy="2392680"/>
            <wp:effectExtent l="0" t="0" r="0" b="7620"/>
            <wp:docPr id="11" name="Chart 11" descr="Net wor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F1570" w:rsidRDefault="00BF1570">
      <w:pPr>
        <w:rPr>
          <w:rFonts w:cstheme="minorHAnsi"/>
          <w:b/>
          <w:i w:val="0"/>
          <w:sz w:val="22"/>
          <w:szCs w:val="22"/>
        </w:rPr>
      </w:pPr>
      <w:r>
        <w:rPr>
          <w:rFonts w:cstheme="minorHAnsi"/>
          <w:b/>
          <w:i w:val="0"/>
          <w:sz w:val="22"/>
          <w:szCs w:val="22"/>
        </w:rPr>
        <w:br w:type="page"/>
      </w:r>
    </w:p>
    <w:p w:rsidR="00C9506D" w:rsidRPr="002F3BB0" w:rsidRDefault="00C9506D" w:rsidP="002C413F">
      <w:pPr>
        <w:pStyle w:val="Heading2"/>
      </w:pPr>
      <w:r w:rsidRPr="002F3BB0">
        <w:lastRenderedPageBreak/>
        <w:t>Financial performance</w:t>
      </w:r>
      <w:bookmarkEnd w:id="56"/>
    </w:p>
    <w:p w:rsidR="003E7F73" w:rsidRPr="002F3BB0" w:rsidRDefault="003E7F73" w:rsidP="00BF1570">
      <w:pPr>
        <w:spacing w:after="0" w:line="240" w:lineRule="auto"/>
        <w:rPr>
          <w:rFonts w:ascii="Arial" w:hAnsi="Arial" w:cs="Arial"/>
          <w:i w:val="0"/>
          <w:sz w:val="22"/>
          <w:szCs w:val="22"/>
        </w:rPr>
      </w:pPr>
      <w:r w:rsidRPr="002F3BB0">
        <w:rPr>
          <w:rFonts w:ascii="Arial" w:hAnsi="Arial" w:cs="Arial"/>
          <w:i w:val="0"/>
          <w:sz w:val="22"/>
          <w:szCs w:val="22"/>
        </w:rPr>
        <w:t xml:space="preserve">The Income Statement shows the total income for 2013–14 as $5.287 million and expenditure as $5.362 million. The ADCQ finished the year with an operating deficit of approximately $75,000.  The deficit relates to one-off factors, primarily costs associated with moving regional offices and hosting the </w:t>
      </w:r>
      <w:proofErr w:type="spellStart"/>
      <w:r w:rsidRPr="002F3BB0">
        <w:rPr>
          <w:rFonts w:ascii="Arial" w:hAnsi="Arial" w:cs="Arial"/>
          <w:i w:val="0"/>
          <w:sz w:val="22"/>
          <w:szCs w:val="22"/>
        </w:rPr>
        <w:t>Mabo</w:t>
      </w:r>
      <w:proofErr w:type="spellEnd"/>
      <w:r w:rsidRPr="002F3BB0">
        <w:rPr>
          <w:rFonts w:ascii="Arial" w:hAnsi="Arial" w:cs="Arial"/>
          <w:i w:val="0"/>
          <w:sz w:val="22"/>
          <w:szCs w:val="22"/>
        </w:rPr>
        <w:t xml:space="preserve"> Oration.  ADCQ is a statutory body and as such is allowed to operate in deficit.</w:t>
      </w:r>
    </w:p>
    <w:p w:rsidR="00C9506D" w:rsidRPr="002F3BB0" w:rsidRDefault="00C9506D" w:rsidP="002C413F">
      <w:pPr>
        <w:pStyle w:val="Heading2"/>
        <w:rPr>
          <w:rFonts w:cstheme="minorHAnsi"/>
          <w:b w:val="0"/>
          <w:i/>
        </w:rPr>
      </w:pPr>
      <w:bookmarkStart w:id="57" w:name="_Toc243284336"/>
      <w:r w:rsidRPr="002C413F">
        <w:t>Income</w:t>
      </w:r>
      <w:bookmarkEnd w:id="57"/>
    </w:p>
    <w:p w:rsidR="003E7F73" w:rsidRPr="002F3BB0" w:rsidRDefault="003E7F73" w:rsidP="00BF1570">
      <w:pPr>
        <w:spacing w:after="240" w:line="240" w:lineRule="auto"/>
        <w:rPr>
          <w:rFonts w:ascii="Arial" w:hAnsi="Arial" w:cs="Arial"/>
          <w:i w:val="0"/>
          <w:sz w:val="22"/>
          <w:szCs w:val="22"/>
        </w:rPr>
      </w:pPr>
      <w:r w:rsidRPr="002F3BB0">
        <w:rPr>
          <w:rFonts w:ascii="Arial" w:hAnsi="Arial" w:cs="Arial"/>
          <w:i w:val="0"/>
          <w:noProof/>
          <w:sz w:val="22"/>
          <w:szCs w:val="22"/>
        </w:rPr>
        <w:t>The</w:t>
      </w:r>
      <w:r w:rsidRPr="002F3BB0">
        <w:rPr>
          <w:rFonts w:ascii="Arial" w:hAnsi="Arial" w:cs="Arial"/>
          <w:i w:val="0"/>
          <w:sz w:val="22"/>
          <w:szCs w:val="22"/>
        </w:rPr>
        <w:t xml:space="preserve"> ADCQ derives most of its income from the Queensland Government, through a grant paid by the Department of Justice and Attorney-General. The ADCQ also generates funds through investment of surplus cash in interest bearing deposits and the provision of train</w:t>
      </w:r>
      <w:r w:rsidR="006F364D">
        <w:rPr>
          <w:rFonts w:ascii="Arial" w:hAnsi="Arial" w:cs="Arial"/>
          <w:i w:val="0"/>
          <w:sz w:val="22"/>
          <w:szCs w:val="22"/>
        </w:rPr>
        <w:t>ing on a fee-for-service basis.</w:t>
      </w:r>
    </w:p>
    <w:p w:rsidR="003E7F73" w:rsidRPr="00BD357E" w:rsidRDefault="003E7F73" w:rsidP="00BF1570">
      <w:pPr>
        <w:pStyle w:val="Caption"/>
        <w:spacing w:before="240" w:after="240" w:line="240" w:lineRule="auto"/>
        <w:rPr>
          <w:rFonts w:cs="Arial"/>
          <w:i w:val="0"/>
          <w:sz w:val="20"/>
        </w:rPr>
      </w:pPr>
      <w:bookmarkStart w:id="58" w:name="_Toc243207817"/>
      <w:r w:rsidRPr="00BD357E">
        <w:rPr>
          <w:rFonts w:cs="Arial"/>
          <w:i w:val="0"/>
          <w:sz w:val="20"/>
        </w:rPr>
        <w:t xml:space="preserve">Graph </w:t>
      </w:r>
      <w:r w:rsidRPr="00BD357E">
        <w:rPr>
          <w:rFonts w:cs="Arial"/>
          <w:i w:val="0"/>
          <w:sz w:val="20"/>
        </w:rPr>
        <w:fldChar w:fldCharType="begin"/>
      </w:r>
      <w:r w:rsidRPr="00BD357E">
        <w:rPr>
          <w:rFonts w:cs="Arial"/>
          <w:i w:val="0"/>
          <w:sz w:val="20"/>
        </w:rPr>
        <w:instrText xml:space="preserve"> SEQ Graph \* ARABIC </w:instrText>
      </w:r>
      <w:r w:rsidRPr="00BD357E">
        <w:rPr>
          <w:rFonts w:cs="Arial"/>
          <w:i w:val="0"/>
          <w:sz w:val="20"/>
        </w:rPr>
        <w:fldChar w:fldCharType="separate"/>
      </w:r>
      <w:r w:rsidR="00860326">
        <w:rPr>
          <w:rFonts w:cs="Arial"/>
          <w:i w:val="0"/>
          <w:noProof/>
          <w:sz w:val="20"/>
        </w:rPr>
        <w:t>3</w:t>
      </w:r>
      <w:r w:rsidRPr="00BD357E">
        <w:rPr>
          <w:rFonts w:cs="Arial"/>
          <w:i w:val="0"/>
          <w:sz w:val="20"/>
        </w:rPr>
        <w:fldChar w:fldCharType="end"/>
      </w:r>
      <w:r w:rsidR="0033101E">
        <w:rPr>
          <w:rFonts w:cs="Arial"/>
          <w:i w:val="0"/>
          <w:sz w:val="20"/>
        </w:rPr>
        <w:t>:</w:t>
      </w:r>
      <w:r w:rsidRPr="00BD357E">
        <w:rPr>
          <w:rFonts w:cs="Arial"/>
          <w:i w:val="0"/>
          <w:sz w:val="20"/>
        </w:rPr>
        <w:t xml:space="preserve"> Source of funds 2013–14</w:t>
      </w:r>
      <w:bookmarkEnd w:id="58"/>
    </w:p>
    <w:p w:rsidR="003E7F73" w:rsidRPr="002F3BB0" w:rsidRDefault="003E7F73" w:rsidP="00BF1570">
      <w:pPr>
        <w:pStyle w:val="Caption"/>
        <w:jc w:val="center"/>
        <w:rPr>
          <w:rFonts w:cstheme="minorHAnsi"/>
          <w:b w:val="0"/>
          <w:i w:val="0"/>
          <w:sz w:val="22"/>
          <w:szCs w:val="22"/>
        </w:rPr>
      </w:pPr>
      <w:r w:rsidRPr="002F3BB0">
        <w:rPr>
          <w:noProof/>
          <w:lang w:eastAsia="en-AU"/>
        </w:rPr>
        <w:drawing>
          <wp:inline distT="0" distB="0" distL="0" distR="0" wp14:anchorId="65C0CA46" wp14:editId="301CC449">
            <wp:extent cx="5369169" cy="2614246"/>
            <wp:effectExtent l="0" t="0" r="3175" b="0"/>
            <wp:docPr id="13" name="Chart 13" descr="Source of funds 2013-2014: Income comparis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43D8C" w:rsidRPr="002F3BB0" w:rsidRDefault="00743D8C" w:rsidP="002C413F">
      <w:pPr>
        <w:pStyle w:val="Heading2"/>
        <w:rPr>
          <w:rFonts w:cstheme="minorHAnsi"/>
          <w:b w:val="0"/>
          <w:i/>
        </w:rPr>
      </w:pPr>
      <w:bookmarkStart w:id="59" w:name="_Toc242764886"/>
      <w:bookmarkStart w:id="60" w:name="_Toc242765005"/>
      <w:bookmarkStart w:id="61" w:name="_Toc242765123"/>
      <w:bookmarkStart w:id="62" w:name="_Toc242765241"/>
      <w:bookmarkStart w:id="63" w:name="_Toc242765359"/>
      <w:bookmarkStart w:id="64" w:name="_Toc242764887"/>
      <w:bookmarkStart w:id="65" w:name="_Toc242765006"/>
      <w:bookmarkStart w:id="66" w:name="_Toc242765124"/>
      <w:bookmarkStart w:id="67" w:name="_Toc242765242"/>
      <w:bookmarkStart w:id="68" w:name="_Toc242765360"/>
      <w:bookmarkStart w:id="69" w:name="_Toc240787710"/>
      <w:bookmarkStart w:id="70" w:name="_Toc243284338"/>
      <w:bookmarkEnd w:id="59"/>
      <w:bookmarkEnd w:id="60"/>
      <w:bookmarkEnd w:id="61"/>
      <w:bookmarkEnd w:id="62"/>
      <w:bookmarkEnd w:id="63"/>
      <w:bookmarkEnd w:id="64"/>
      <w:bookmarkEnd w:id="65"/>
      <w:bookmarkEnd w:id="66"/>
      <w:bookmarkEnd w:id="67"/>
      <w:bookmarkEnd w:id="68"/>
      <w:r w:rsidRPr="002C413F">
        <w:t>Expenses</w:t>
      </w:r>
    </w:p>
    <w:p w:rsidR="003E7F73" w:rsidRPr="002F3BB0" w:rsidRDefault="003E7F73" w:rsidP="00BF1570">
      <w:pPr>
        <w:keepNext/>
        <w:keepLines/>
        <w:spacing w:after="240" w:line="240" w:lineRule="auto"/>
        <w:rPr>
          <w:rFonts w:ascii="Arial" w:hAnsi="Arial" w:cs="Arial"/>
          <w:i w:val="0"/>
          <w:sz w:val="22"/>
          <w:szCs w:val="22"/>
        </w:rPr>
      </w:pPr>
      <w:r w:rsidRPr="002F3BB0">
        <w:rPr>
          <w:rFonts w:ascii="Arial" w:hAnsi="Arial" w:cs="Arial"/>
          <w:i w:val="0"/>
          <w:sz w:val="22"/>
          <w:szCs w:val="22"/>
        </w:rPr>
        <w:t>Total operating expenses for 2013–14 were $5.362 million. The largest expense category is employee-related costs, which account for almost 65 per cent of total expenses. The second biggest category is supplies and services, which account for approximately 30 per cent.</w:t>
      </w:r>
    </w:p>
    <w:p w:rsidR="003E7F73" w:rsidRPr="00BD357E" w:rsidRDefault="003E7F73" w:rsidP="00BF1570">
      <w:pPr>
        <w:pStyle w:val="Caption"/>
        <w:spacing w:before="240" w:after="240" w:line="240" w:lineRule="auto"/>
        <w:rPr>
          <w:rFonts w:cs="Arial"/>
          <w:i w:val="0"/>
          <w:sz w:val="20"/>
        </w:rPr>
      </w:pPr>
      <w:r w:rsidRPr="00BD357E">
        <w:rPr>
          <w:rFonts w:cs="Arial"/>
          <w:i w:val="0"/>
          <w:sz w:val="20"/>
        </w:rPr>
        <w:t xml:space="preserve">Graph </w:t>
      </w:r>
      <w:r w:rsidR="00CD15EE" w:rsidRPr="00BD357E">
        <w:rPr>
          <w:rFonts w:cs="Arial"/>
          <w:i w:val="0"/>
          <w:sz w:val="20"/>
        </w:rPr>
        <w:fldChar w:fldCharType="begin"/>
      </w:r>
      <w:r w:rsidR="00CD15EE" w:rsidRPr="00BD357E">
        <w:rPr>
          <w:rFonts w:cs="Arial"/>
          <w:i w:val="0"/>
          <w:sz w:val="20"/>
        </w:rPr>
        <w:instrText xml:space="preserve"> SEQ Graph \* ARABIC </w:instrText>
      </w:r>
      <w:r w:rsidR="00CD15EE" w:rsidRPr="00BD357E">
        <w:rPr>
          <w:rFonts w:cs="Arial"/>
          <w:i w:val="0"/>
          <w:sz w:val="20"/>
        </w:rPr>
        <w:fldChar w:fldCharType="separate"/>
      </w:r>
      <w:r w:rsidR="00860326">
        <w:rPr>
          <w:rFonts w:cs="Arial"/>
          <w:i w:val="0"/>
          <w:noProof/>
          <w:sz w:val="20"/>
        </w:rPr>
        <w:t>4</w:t>
      </w:r>
      <w:r w:rsidR="00CD15EE" w:rsidRPr="00BD357E">
        <w:rPr>
          <w:rFonts w:cs="Arial"/>
          <w:i w:val="0"/>
          <w:sz w:val="20"/>
        </w:rPr>
        <w:fldChar w:fldCharType="end"/>
      </w:r>
      <w:r w:rsidR="0033101E" w:rsidRPr="00BD357E">
        <w:rPr>
          <w:rFonts w:cs="Arial"/>
          <w:i w:val="0"/>
          <w:sz w:val="20"/>
        </w:rPr>
        <w:t>:</w:t>
      </w:r>
      <w:r w:rsidRPr="00BD357E">
        <w:rPr>
          <w:rFonts w:cs="Arial"/>
          <w:i w:val="0"/>
          <w:sz w:val="20"/>
        </w:rPr>
        <w:t xml:space="preserve"> Application of funds</w:t>
      </w:r>
    </w:p>
    <w:p w:rsidR="003E7F73" w:rsidRPr="002F3BB0" w:rsidRDefault="003E7F73" w:rsidP="003E7F73">
      <w:pPr>
        <w:pStyle w:val="Caption"/>
        <w:jc w:val="center"/>
        <w:rPr>
          <w:rFonts w:cstheme="minorHAnsi"/>
          <w:b w:val="0"/>
          <w:i w:val="0"/>
          <w:sz w:val="22"/>
          <w:szCs w:val="22"/>
        </w:rPr>
      </w:pPr>
      <w:r w:rsidRPr="002F3BB0">
        <w:rPr>
          <w:noProof/>
          <w:lang w:eastAsia="en-AU"/>
        </w:rPr>
        <w:drawing>
          <wp:inline distT="0" distB="0" distL="0" distR="0" wp14:anchorId="654165C2" wp14:editId="18E9BD9D">
            <wp:extent cx="3905250" cy="2609850"/>
            <wp:effectExtent l="0" t="0" r="0" b="0"/>
            <wp:docPr id="14" name="Chart 14" descr="Application of fund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7F73" w:rsidRPr="002F3BB0" w:rsidRDefault="005B6927" w:rsidP="00C37BDB">
      <w:pPr>
        <w:pStyle w:val="Caption"/>
        <w:keepNext/>
        <w:spacing w:after="240" w:line="240" w:lineRule="auto"/>
        <w:rPr>
          <w:rFonts w:cstheme="minorHAnsi"/>
          <w:b w:val="0"/>
          <w:i w:val="0"/>
          <w:sz w:val="22"/>
          <w:szCs w:val="22"/>
        </w:rPr>
      </w:pPr>
      <w:r w:rsidRPr="002F3BB0">
        <w:rPr>
          <w:i w:val="0"/>
          <w:sz w:val="20"/>
        </w:rPr>
        <w:lastRenderedPageBreak/>
        <w:t xml:space="preserve">Table </w:t>
      </w:r>
      <w:r>
        <w:rPr>
          <w:i w:val="0"/>
          <w:sz w:val="20"/>
        </w:rPr>
        <w:t>14:</w:t>
      </w:r>
      <w:r w:rsidRPr="002F3BB0">
        <w:rPr>
          <w:i w:val="0"/>
          <w:sz w:val="20"/>
        </w:rPr>
        <w:t xml:space="preserve"> </w:t>
      </w:r>
      <w:r>
        <w:rPr>
          <w:i w:val="0"/>
          <w:sz w:val="20"/>
        </w:rPr>
        <w:t>Comparison to Budget and Estimated Actual (</w:t>
      </w:r>
      <w:proofErr w:type="gramStart"/>
      <w:r>
        <w:rPr>
          <w:i w:val="0"/>
          <w:sz w:val="20"/>
        </w:rPr>
        <w:t>Est</w:t>
      </w:r>
      <w:proofErr w:type="gramEnd"/>
      <w:r>
        <w:rPr>
          <w:i w:val="0"/>
          <w:sz w:val="20"/>
        </w:rPr>
        <w:t xml:space="preserve"> Act) reported in Agency Service Delivery Statements</w:t>
      </w:r>
    </w:p>
    <w:tbl>
      <w:tblPr>
        <w:tblW w:w="7480" w:type="dxa"/>
        <w:jc w:val="center"/>
        <w:tblLook w:val="04A0" w:firstRow="1" w:lastRow="0" w:firstColumn="1" w:lastColumn="0" w:noHBand="0" w:noVBand="1"/>
        <w:tblDescription w:val="Comparison to budget and estimated actual reported in Agency Service Delivery Statements"/>
      </w:tblPr>
      <w:tblGrid>
        <w:gridCol w:w="2560"/>
        <w:gridCol w:w="1000"/>
        <w:gridCol w:w="980"/>
        <w:gridCol w:w="960"/>
        <w:gridCol w:w="980"/>
        <w:gridCol w:w="1000"/>
      </w:tblGrid>
      <w:tr w:rsidR="003E7F73" w:rsidRPr="002F3BB0" w:rsidTr="00FC0572">
        <w:trPr>
          <w:trHeight w:val="270"/>
          <w:jc w:val="center"/>
        </w:trPr>
        <w:tc>
          <w:tcPr>
            <w:tcW w:w="2560" w:type="dxa"/>
            <w:tcBorders>
              <w:top w:val="nil"/>
              <w:left w:val="nil"/>
              <w:bottom w:val="nil"/>
              <w:right w:val="nil"/>
            </w:tcBorders>
            <w:shd w:val="clear" w:color="auto" w:fill="auto"/>
            <w:noWrap/>
            <w:vAlign w:val="bottom"/>
            <w:hideMark/>
          </w:tcPr>
          <w:p w:rsidR="003E7F73" w:rsidRPr="002F3BB0" w:rsidRDefault="003E7F73" w:rsidP="00FC0572">
            <w:pPr>
              <w:rPr>
                <w:rFonts w:ascii="Arial" w:hAnsi="Arial" w:cs="Arial"/>
              </w:rPr>
            </w:pPr>
          </w:p>
        </w:tc>
        <w:tc>
          <w:tcPr>
            <w:tcW w:w="1000" w:type="dxa"/>
            <w:tcBorders>
              <w:top w:val="nil"/>
              <w:left w:val="nil"/>
              <w:bottom w:val="nil"/>
              <w:right w:val="nil"/>
            </w:tcBorders>
            <w:shd w:val="clear" w:color="auto" w:fill="auto"/>
            <w:noWrap/>
            <w:vAlign w:val="bottom"/>
            <w:hideMark/>
          </w:tcPr>
          <w:p w:rsidR="003E7F73" w:rsidRPr="002F3BB0" w:rsidRDefault="003E7F73" w:rsidP="00FC0572">
            <w:pPr>
              <w:rPr>
                <w:rFonts w:ascii="Arial" w:hAnsi="Arial" w:cs="Arial"/>
              </w:rPr>
            </w:pPr>
          </w:p>
        </w:tc>
        <w:tc>
          <w:tcPr>
            <w:tcW w:w="980" w:type="dxa"/>
            <w:tcBorders>
              <w:top w:val="nil"/>
              <w:left w:val="nil"/>
              <w:bottom w:val="nil"/>
              <w:right w:val="nil"/>
            </w:tcBorders>
            <w:shd w:val="clear" w:color="auto" w:fill="auto"/>
            <w:noWrap/>
            <w:vAlign w:val="bottom"/>
            <w:hideMark/>
          </w:tcPr>
          <w:p w:rsidR="003E7F73" w:rsidRPr="002F3BB0" w:rsidRDefault="003E7F73" w:rsidP="00FC0572">
            <w:pPr>
              <w:rPr>
                <w:rFonts w:ascii="Arial" w:hAnsi="Arial" w:cs="Arial"/>
              </w:rPr>
            </w:pPr>
          </w:p>
        </w:tc>
        <w:tc>
          <w:tcPr>
            <w:tcW w:w="960" w:type="dxa"/>
            <w:tcBorders>
              <w:top w:val="nil"/>
              <w:left w:val="nil"/>
              <w:bottom w:val="nil"/>
              <w:right w:val="nil"/>
            </w:tcBorders>
            <w:shd w:val="clear" w:color="auto" w:fill="auto"/>
            <w:noWrap/>
            <w:vAlign w:val="bottom"/>
            <w:hideMark/>
          </w:tcPr>
          <w:p w:rsidR="003E7F73" w:rsidRPr="002F3BB0" w:rsidRDefault="003E7F73" w:rsidP="00FC0572">
            <w:pPr>
              <w:rPr>
                <w:rFonts w:ascii="Arial" w:hAnsi="Arial" w:cs="Arial"/>
              </w:rPr>
            </w:pPr>
          </w:p>
        </w:tc>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7F73" w:rsidRPr="002F3BB0" w:rsidRDefault="003E7F73" w:rsidP="00FC0572">
            <w:pPr>
              <w:jc w:val="center"/>
              <w:rPr>
                <w:rFonts w:ascii="Arial" w:hAnsi="Arial" w:cs="Arial"/>
                <w:b/>
                <w:bCs/>
              </w:rPr>
            </w:pPr>
            <w:r w:rsidRPr="002F3BB0">
              <w:rPr>
                <w:rFonts w:ascii="Arial" w:hAnsi="Arial" w:cs="Arial"/>
                <w:b/>
                <w:bCs/>
              </w:rPr>
              <w:t>Variance to:</w:t>
            </w:r>
          </w:p>
        </w:tc>
      </w:tr>
      <w:tr w:rsidR="003E7F73" w:rsidRPr="002F3BB0" w:rsidTr="00FC0572">
        <w:trPr>
          <w:trHeight w:val="312"/>
          <w:jc w:val="center"/>
        </w:trPr>
        <w:tc>
          <w:tcPr>
            <w:tcW w:w="2560" w:type="dxa"/>
            <w:tcBorders>
              <w:top w:val="nil"/>
              <w:left w:val="nil"/>
              <w:bottom w:val="nil"/>
              <w:right w:val="nil"/>
            </w:tcBorders>
            <w:shd w:val="clear" w:color="auto" w:fill="auto"/>
            <w:noWrap/>
            <w:vAlign w:val="bottom"/>
            <w:hideMark/>
          </w:tcPr>
          <w:p w:rsidR="003E7F73" w:rsidRPr="002F3BB0" w:rsidRDefault="003E7F73" w:rsidP="00FC0572">
            <w:pPr>
              <w:rPr>
                <w:rFonts w:ascii="Arial" w:hAnsi="Arial" w:cs="Arial"/>
                <w:i w:val="0"/>
              </w:rPr>
            </w:pPr>
          </w:p>
        </w:tc>
        <w:tc>
          <w:tcPr>
            <w:tcW w:w="1000" w:type="dxa"/>
            <w:tcBorders>
              <w:top w:val="single" w:sz="4" w:space="0" w:color="auto"/>
              <w:left w:val="single" w:sz="4" w:space="0" w:color="auto"/>
              <w:bottom w:val="nil"/>
              <w:right w:val="single" w:sz="4" w:space="0" w:color="auto"/>
            </w:tcBorders>
            <w:shd w:val="clear" w:color="auto" w:fill="auto"/>
            <w:hideMark/>
          </w:tcPr>
          <w:p w:rsidR="003E7F73" w:rsidRPr="002F3BB0" w:rsidRDefault="003E7F73" w:rsidP="00FC0572">
            <w:pPr>
              <w:jc w:val="center"/>
              <w:rPr>
                <w:rFonts w:ascii="Arial" w:hAnsi="Arial" w:cs="Arial"/>
                <w:b/>
                <w:bCs/>
                <w:i w:val="0"/>
              </w:rPr>
            </w:pPr>
            <w:r w:rsidRPr="002F3BB0">
              <w:rPr>
                <w:rFonts w:ascii="Arial" w:hAnsi="Arial" w:cs="Arial"/>
                <w:b/>
                <w:bCs/>
                <w:i w:val="0"/>
              </w:rPr>
              <w:t>Budget</w:t>
            </w:r>
          </w:p>
        </w:tc>
        <w:tc>
          <w:tcPr>
            <w:tcW w:w="980" w:type="dxa"/>
            <w:tcBorders>
              <w:top w:val="single" w:sz="4" w:space="0" w:color="auto"/>
              <w:left w:val="nil"/>
              <w:bottom w:val="nil"/>
              <w:right w:val="single" w:sz="4" w:space="0" w:color="auto"/>
            </w:tcBorders>
            <w:shd w:val="clear" w:color="auto" w:fill="auto"/>
            <w:hideMark/>
          </w:tcPr>
          <w:p w:rsidR="003E7F73" w:rsidRPr="002F3BB0" w:rsidRDefault="003E7F73" w:rsidP="00FC0572">
            <w:pPr>
              <w:jc w:val="center"/>
              <w:rPr>
                <w:rFonts w:ascii="Arial" w:hAnsi="Arial" w:cs="Arial"/>
                <w:b/>
                <w:bCs/>
                <w:i w:val="0"/>
              </w:rPr>
            </w:pPr>
            <w:r w:rsidRPr="002F3BB0">
              <w:rPr>
                <w:rFonts w:ascii="Arial" w:hAnsi="Arial" w:cs="Arial"/>
                <w:b/>
                <w:bCs/>
                <w:i w:val="0"/>
              </w:rPr>
              <w:t>Est Act</w:t>
            </w:r>
          </w:p>
        </w:tc>
        <w:tc>
          <w:tcPr>
            <w:tcW w:w="960" w:type="dxa"/>
            <w:tcBorders>
              <w:top w:val="single" w:sz="4" w:space="0" w:color="auto"/>
              <w:left w:val="nil"/>
              <w:bottom w:val="nil"/>
              <w:right w:val="single" w:sz="4" w:space="0" w:color="auto"/>
            </w:tcBorders>
            <w:shd w:val="clear" w:color="auto" w:fill="auto"/>
            <w:hideMark/>
          </w:tcPr>
          <w:p w:rsidR="003E7F73" w:rsidRPr="002F3BB0" w:rsidRDefault="003E7F73" w:rsidP="00FC0572">
            <w:pPr>
              <w:jc w:val="center"/>
              <w:rPr>
                <w:rFonts w:ascii="Arial" w:hAnsi="Arial" w:cs="Arial"/>
                <w:b/>
                <w:bCs/>
                <w:i w:val="0"/>
              </w:rPr>
            </w:pPr>
            <w:r w:rsidRPr="002F3BB0">
              <w:rPr>
                <w:rFonts w:ascii="Arial" w:hAnsi="Arial" w:cs="Arial"/>
                <w:b/>
                <w:bCs/>
                <w:i w:val="0"/>
              </w:rPr>
              <w:t xml:space="preserve">Actual  </w:t>
            </w:r>
          </w:p>
        </w:tc>
        <w:tc>
          <w:tcPr>
            <w:tcW w:w="980" w:type="dxa"/>
            <w:tcBorders>
              <w:top w:val="nil"/>
              <w:left w:val="nil"/>
              <w:bottom w:val="nil"/>
              <w:right w:val="single" w:sz="4" w:space="0" w:color="auto"/>
            </w:tcBorders>
            <w:shd w:val="clear" w:color="auto" w:fill="auto"/>
            <w:hideMark/>
          </w:tcPr>
          <w:p w:rsidR="003E7F73" w:rsidRPr="002F3BB0" w:rsidRDefault="003E7F73" w:rsidP="00FC0572">
            <w:pPr>
              <w:jc w:val="center"/>
              <w:rPr>
                <w:rFonts w:ascii="Arial" w:hAnsi="Arial" w:cs="Arial"/>
                <w:b/>
                <w:bCs/>
                <w:i w:val="0"/>
              </w:rPr>
            </w:pPr>
            <w:r w:rsidRPr="002F3BB0">
              <w:rPr>
                <w:rFonts w:ascii="Arial" w:hAnsi="Arial" w:cs="Arial"/>
                <w:b/>
                <w:bCs/>
                <w:i w:val="0"/>
              </w:rPr>
              <w:t xml:space="preserve">Budget </w:t>
            </w:r>
          </w:p>
        </w:tc>
        <w:tc>
          <w:tcPr>
            <w:tcW w:w="1000" w:type="dxa"/>
            <w:tcBorders>
              <w:top w:val="nil"/>
              <w:left w:val="nil"/>
              <w:bottom w:val="nil"/>
              <w:right w:val="single" w:sz="4" w:space="0" w:color="auto"/>
            </w:tcBorders>
            <w:shd w:val="clear" w:color="auto" w:fill="auto"/>
            <w:hideMark/>
          </w:tcPr>
          <w:p w:rsidR="003E7F73" w:rsidRPr="002F3BB0" w:rsidRDefault="003E7F73" w:rsidP="00FC0572">
            <w:pPr>
              <w:jc w:val="center"/>
              <w:rPr>
                <w:rFonts w:ascii="Arial" w:hAnsi="Arial" w:cs="Arial"/>
                <w:b/>
                <w:bCs/>
                <w:i w:val="0"/>
              </w:rPr>
            </w:pPr>
            <w:r w:rsidRPr="002F3BB0">
              <w:rPr>
                <w:rFonts w:ascii="Arial" w:hAnsi="Arial" w:cs="Arial"/>
                <w:b/>
                <w:bCs/>
                <w:i w:val="0"/>
              </w:rPr>
              <w:t xml:space="preserve">Est Act </w:t>
            </w:r>
          </w:p>
        </w:tc>
      </w:tr>
      <w:tr w:rsidR="003E7F73" w:rsidRPr="002F3BB0" w:rsidTr="00FC0572">
        <w:trPr>
          <w:trHeight w:val="276"/>
          <w:jc w:val="center"/>
        </w:trPr>
        <w:tc>
          <w:tcPr>
            <w:tcW w:w="2560" w:type="dxa"/>
            <w:tcBorders>
              <w:top w:val="nil"/>
              <w:left w:val="nil"/>
              <w:bottom w:val="nil"/>
              <w:right w:val="nil"/>
            </w:tcBorders>
            <w:shd w:val="clear" w:color="auto" w:fill="auto"/>
            <w:noWrap/>
            <w:vAlign w:val="bottom"/>
            <w:hideMark/>
          </w:tcPr>
          <w:p w:rsidR="003E7F73" w:rsidRPr="002F3BB0" w:rsidRDefault="003E7F73" w:rsidP="00FC0572">
            <w:pPr>
              <w:rPr>
                <w:rFonts w:ascii="Arial" w:hAnsi="Arial" w:cs="Arial"/>
                <w:i w:val="0"/>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E7F73" w:rsidRPr="002F3BB0" w:rsidRDefault="003E7F73" w:rsidP="00FC0572">
            <w:pPr>
              <w:jc w:val="center"/>
              <w:rPr>
                <w:rFonts w:ascii="Arial" w:hAnsi="Arial" w:cs="Arial"/>
                <w:b/>
                <w:bCs/>
                <w:i w:val="0"/>
              </w:rPr>
            </w:pPr>
            <w:r w:rsidRPr="002F3BB0">
              <w:rPr>
                <w:rFonts w:ascii="Arial" w:hAnsi="Arial" w:cs="Arial"/>
                <w:b/>
                <w:bCs/>
                <w:i w:val="0"/>
              </w:rPr>
              <w:t xml:space="preserve"> $'000</w:t>
            </w:r>
          </w:p>
        </w:tc>
        <w:tc>
          <w:tcPr>
            <w:tcW w:w="98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center"/>
              <w:rPr>
                <w:rFonts w:ascii="Arial" w:hAnsi="Arial" w:cs="Arial"/>
                <w:b/>
                <w:bCs/>
                <w:i w:val="0"/>
              </w:rPr>
            </w:pPr>
            <w:r w:rsidRPr="002F3BB0">
              <w:rPr>
                <w:rFonts w:ascii="Arial" w:hAnsi="Arial" w:cs="Arial"/>
                <w:b/>
                <w:bCs/>
                <w:i w:val="0"/>
              </w:rPr>
              <w:t>$'000</w:t>
            </w:r>
          </w:p>
        </w:tc>
        <w:tc>
          <w:tcPr>
            <w:tcW w:w="96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center"/>
              <w:rPr>
                <w:rFonts w:ascii="Arial" w:hAnsi="Arial" w:cs="Arial"/>
                <w:b/>
                <w:bCs/>
                <w:i w:val="0"/>
              </w:rPr>
            </w:pPr>
            <w:r w:rsidRPr="002F3BB0">
              <w:rPr>
                <w:rFonts w:ascii="Arial" w:hAnsi="Arial" w:cs="Arial"/>
                <w:b/>
                <w:bCs/>
                <w:i w:val="0"/>
              </w:rPr>
              <w:t>$'000</w:t>
            </w:r>
          </w:p>
        </w:tc>
        <w:tc>
          <w:tcPr>
            <w:tcW w:w="98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center"/>
              <w:rPr>
                <w:rFonts w:ascii="Arial" w:hAnsi="Arial" w:cs="Arial"/>
                <w:b/>
                <w:bCs/>
                <w:i w:val="0"/>
              </w:rPr>
            </w:pPr>
            <w:r w:rsidRPr="002F3BB0">
              <w:rPr>
                <w:rFonts w:ascii="Arial" w:hAnsi="Arial" w:cs="Arial"/>
                <w:b/>
                <w:bCs/>
                <w:i w:val="0"/>
              </w:rPr>
              <w:t>$'000</w:t>
            </w:r>
          </w:p>
        </w:tc>
        <w:tc>
          <w:tcPr>
            <w:tcW w:w="100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center"/>
              <w:rPr>
                <w:rFonts w:ascii="Arial" w:hAnsi="Arial" w:cs="Arial"/>
                <w:b/>
                <w:bCs/>
                <w:i w:val="0"/>
              </w:rPr>
            </w:pPr>
            <w:r w:rsidRPr="002F3BB0">
              <w:rPr>
                <w:rFonts w:ascii="Arial" w:hAnsi="Arial" w:cs="Arial"/>
                <w:b/>
                <w:bCs/>
                <w:i w:val="0"/>
              </w:rPr>
              <w:t xml:space="preserve"> $'000</w:t>
            </w:r>
          </w:p>
        </w:tc>
      </w:tr>
      <w:tr w:rsidR="003E7F73" w:rsidRPr="002F3BB0" w:rsidTr="00FC0572">
        <w:trPr>
          <w:trHeight w:val="276"/>
          <w:jc w:val="center"/>
        </w:trPr>
        <w:tc>
          <w:tcPr>
            <w:tcW w:w="2560" w:type="dxa"/>
            <w:tcBorders>
              <w:top w:val="single" w:sz="4" w:space="0" w:color="auto"/>
              <w:left w:val="single" w:sz="4" w:space="0" w:color="auto"/>
              <w:bottom w:val="nil"/>
              <w:right w:val="single" w:sz="4" w:space="0" w:color="auto"/>
            </w:tcBorders>
            <w:shd w:val="clear" w:color="auto" w:fill="auto"/>
            <w:noWrap/>
            <w:vAlign w:val="bottom"/>
            <w:hideMark/>
          </w:tcPr>
          <w:p w:rsidR="003E7F73" w:rsidRPr="002F3BB0" w:rsidRDefault="003E7F73" w:rsidP="00FC0572">
            <w:pPr>
              <w:rPr>
                <w:rFonts w:ascii="Arial" w:hAnsi="Arial" w:cs="Arial"/>
                <w:b/>
                <w:bCs/>
                <w:i w:val="0"/>
              </w:rPr>
            </w:pPr>
            <w:r w:rsidRPr="002F3BB0">
              <w:rPr>
                <w:rFonts w:ascii="Arial" w:hAnsi="Arial" w:cs="Arial"/>
                <w:b/>
                <w:bCs/>
                <w:i w:val="0"/>
              </w:rPr>
              <w:t>Revenue</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 </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 </w:t>
            </w:r>
          </w:p>
        </w:tc>
        <w:tc>
          <w:tcPr>
            <w:tcW w:w="960" w:type="dxa"/>
            <w:tcBorders>
              <w:top w:val="nil"/>
              <w:left w:val="nil"/>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 </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 </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 </w:t>
            </w:r>
          </w:p>
        </w:tc>
      </w:tr>
      <w:tr w:rsidR="003E7F73" w:rsidRPr="002F3BB0" w:rsidTr="00FC0572">
        <w:trPr>
          <w:trHeight w:val="264"/>
          <w:jc w:val="center"/>
        </w:trPr>
        <w:tc>
          <w:tcPr>
            <w:tcW w:w="2560" w:type="dxa"/>
            <w:tcBorders>
              <w:top w:val="nil"/>
              <w:left w:val="single" w:sz="4" w:space="0" w:color="auto"/>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User charges</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203</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150</w:t>
            </w:r>
          </w:p>
        </w:tc>
        <w:tc>
          <w:tcPr>
            <w:tcW w:w="96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193</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-10</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43</w:t>
            </w:r>
          </w:p>
        </w:tc>
      </w:tr>
      <w:tr w:rsidR="003E7F73" w:rsidRPr="002F3BB0" w:rsidTr="00FC0572">
        <w:trPr>
          <w:trHeight w:val="264"/>
          <w:jc w:val="center"/>
        </w:trPr>
        <w:tc>
          <w:tcPr>
            <w:tcW w:w="2560" w:type="dxa"/>
            <w:tcBorders>
              <w:top w:val="nil"/>
              <w:left w:val="single" w:sz="4" w:space="0" w:color="auto"/>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Revenue from Interest</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70</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49</w:t>
            </w:r>
          </w:p>
        </w:tc>
        <w:tc>
          <w:tcPr>
            <w:tcW w:w="96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37</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-33</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-12</w:t>
            </w:r>
          </w:p>
        </w:tc>
      </w:tr>
      <w:tr w:rsidR="003E7F73" w:rsidRPr="002F3BB0" w:rsidTr="00FC0572">
        <w:trPr>
          <w:trHeight w:val="264"/>
          <w:jc w:val="center"/>
        </w:trPr>
        <w:tc>
          <w:tcPr>
            <w:tcW w:w="2560" w:type="dxa"/>
            <w:tcBorders>
              <w:top w:val="nil"/>
              <w:left w:val="single" w:sz="4" w:space="0" w:color="auto"/>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Grants</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5,039</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5,045</w:t>
            </w:r>
          </w:p>
        </w:tc>
        <w:tc>
          <w:tcPr>
            <w:tcW w:w="96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5,045</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6</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0</w:t>
            </w:r>
          </w:p>
        </w:tc>
      </w:tr>
      <w:tr w:rsidR="003E7F73" w:rsidRPr="002F3BB0" w:rsidTr="00FC0572">
        <w:trPr>
          <w:trHeight w:val="264"/>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Other</w:t>
            </w:r>
          </w:p>
        </w:tc>
        <w:tc>
          <w:tcPr>
            <w:tcW w:w="100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11</w:t>
            </w:r>
          </w:p>
        </w:tc>
        <w:tc>
          <w:tcPr>
            <w:tcW w:w="98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11</w:t>
            </w:r>
          </w:p>
        </w:tc>
        <w:tc>
          <w:tcPr>
            <w:tcW w:w="96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12</w:t>
            </w:r>
          </w:p>
        </w:tc>
        <w:tc>
          <w:tcPr>
            <w:tcW w:w="98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w:t>
            </w:r>
          </w:p>
        </w:tc>
        <w:tc>
          <w:tcPr>
            <w:tcW w:w="100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w:t>
            </w:r>
          </w:p>
        </w:tc>
      </w:tr>
      <w:tr w:rsidR="003E7F73" w:rsidRPr="002F3BB0" w:rsidTr="00FC0572">
        <w:trPr>
          <w:trHeight w:val="264"/>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E7F73" w:rsidRPr="002F3BB0" w:rsidRDefault="003E7F73" w:rsidP="00FC0572">
            <w:pPr>
              <w:rPr>
                <w:rFonts w:ascii="Arial" w:hAnsi="Arial" w:cs="Arial"/>
                <w:b/>
                <w:bCs/>
                <w:i w:val="0"/>
              </w:rPr>
            </w:pPr>
            <w:r w:rsidRPr="002F3BB0">
              <w:rPr>
                <w:rFonts w:ascii="Arial" w:hAnsi="Arial" w:cs="Arial"/>
                <w:b/>
                <w:bCs/>
                <w:i w:val="0"/>
              </w:rPr>
              <w:t>Total revenues</w:t>
            </w:r>
          </w:p>
        </w:tc>
        <w:tc>
          <w:tcPr>
            <w:tcW w:w="100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5,323</w:t>
            </w:r>
          </w:p>
        </w:tc>
        <w:tc>
          <w:tcPr>
            <w:tcW w:w="98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5,255</w:t>
            </w:r>
          </w:p>
        </w:tc>
        <w:tc>
          <w:tcPr>
            <w:tcW w:w="96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5,287</w:t>
            </w:r>
          </w:p>
        </w:tc>
        <w:tc>
          <w:tcPr>
            <w:tcW w:w="98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-36</w:t>
            </w:r>
          </w:p>
        </w:tc>
        <w:tc>
          <w:tcPr>
            <w:tcW w:w="100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32</w:t>
            </w:r>
          </w:p>
        </w:tc>
      </w:tr>
      <w:tr w:rsidR="003E7F73" w:rsidRPr="002F3BB0" w:rsidTr="00FC0572">
        <w:trPr>
          <w:trHeight w:val="264"/>
          <w:jc w:val="center"/>
        </w:trPr>
        <w:tc>
          <w:tcPr>
            <w:tcW w:w="2560" w:type="dxa"/>
            <w:tcBorders>
              <w:top w:val="nil"/>
              <w:left w:val="single" w:sz="4" w:space="0" w:color="auto"/>
              <w:bottom w:val="nil"/>
              <w:right w:val="single" w:sz="4" w:space="0" w:color="auto"/>
            </w:tcBorders>
            <w:shd w:val="clear" w:color="auto" w:fill="auto"/>
            <w:noWrap/>
            <w:vAlign w:val="bottom"/>
            <w:hideMark/>
          </w:tcPr>
          <w:p w:rsidR="003E7F73" w:rsidRPr="002F3BB0" w:rsidRDefault="003E7F73" w:rsidP="00FC0572">
            <w:pPr>
              <w:rPr>
                <w:rFonts w:ascii="Arial" w:hAnsi="Arial" w:cs="Arial"/>
                <w:b/>
                <w:bCs/>
                <w:i w:val="0"/>
              </w:rPr>
            </w:pPr>
            <w:r w:rsidRPr="002F3BB0">
              <w:rPr>
                <w:rFonts w:ascii="Arial" w:hAnsi="Arial" w:cs="Arial"/>
                <w:b/>
                <w:bCs/>
                <w:i w:val="0"/>
              </w:rPr>
              <w:t>Expenses</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 </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 </w:t>
            </w:r>
          </w:p>
        </w:tc>
        <w:tc>
          <w:tcPr>
            <w:tcW w:w="960" w:type="dxa"/>
            <w:tcBorders>
              <w:top w:val="nil"/>
              <w:left w:val="nil"/>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 </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 </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 </w:t>
            </w:r>
          </w:p>
        </w:tc>
      </w:tr>
      <w:tr w:rsidR="003E7F73" w:rsidRPr="002F3BB0" w:rsidTr="00FC0572">
        <w:trPr>
          <w:trHeight w:val="264"/>
          <w:jc w:val="center"/>
        </w:trPr>
        <w:tc>
          <w:tcPr>
            <w:tcW w:w="2560" w:type="dxa"/>
            <w:tcBorders>
              <w:top w:val="nil"/>
              <w:left w:val="single" w:sz="4" w:space="0" w:color="auto"/>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Employee expenses</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3,575</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3,580</w:t>
            </w:r>
          </w:p>
        </w:tc>
        <w:tc>
          <w:tcPr>
            <w:tcW w:w="96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3,454</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121</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126</w:t>
            </w:r>
          </w:p>
        </w:tc>
      </w:tr>
      <w:tr w:rsidR="003E7F73" w:rsidRPr="002F3BB0" w:rsidTr="00FC0572">
        <w:trPr>
          <w:trHeight w:val="264"/>
          <w:jc w:val="center"/>
        </w:trPr>
        <w:tc>
          <w:tcPr>
            <w:tcW w:w="2560" w:type="dxa"/>
            <w:tcBorders>
              <w:top w:val="nil"/>
              <w:left w:val="single" w:sz="4" w:space="0" w:color="auto"/>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Supplies and services</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1,423</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1,350</w:t>
            </w:r>
          </w:p>
        </w:tc>
        <w:tc>
          <w:tcPr>
            <w:tcW w:w="96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1,601</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-178</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-251</w:t>
            </w:r>
          </w:p>
        </w:tc>
      </w:tr>
      <w:tr w:rsidR="003E7F73" w:rsidRPr="002F3BB0" w:rsidTr="00FC0572">
        <w:trPr>
          <w:trHeight w:val="264"/>
          <w:jc w:val="center"/>
        </w:trPr>
        <w:tc>
          <w:tcPr>
            <w:tcW w:w="2560" w:type="dxa"/>
            <w:tcBorders>
              <w:top w:val="nil"/>
              <w:left w:val="single" w:sz="4" w:space="0" w:color="auto"/>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Grants and subsidies</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10</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10</w:t>
            </w:r>
          </w:p>
        </w:tc>
        <w:tc>
          <w:tcPr>
            <w:tcW w:w="96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10</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0</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0</w:t>
            </w:r>
          </w:p>
        </w:tc>
      </w:tr>
      <w:tr w:rsidR="003E7F73" w:rsidRPr="002F3BB0" w:rsidTr="00FC0572">
        <w:trPr>
          <w:trHeight w:val="264"/>
          <w:jc w:val="center"/>
        </w:trPr>
        <w:tc>
          <w:tcPr>
            <w:tcW w:w="2560" w:type="dxa"/>
            <w:tcBorders>
              <w:top w:val="nil"/>
              <w:left w:val="single" w:sz="4" w:space="0" w:color="auto"/>
              <w:bottom w:val="nil"/>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Depreciation/amortisation</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287</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287</w:t>
            </w:r>
          </w:p>
        </w:tc>
        <w:tc>
          <w:tcPr>
            <w:tcW w:w="96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267</w:t>
            </w:r>
          </w:p>
        </w:tc>
        <w:tc>
          <w:tcPr>
            <w:tcW w:w="98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20</w:t>
            </w:r>
          </w:p>
        </w:tc>
        <w:tc>
          <w:tcPr>
            <w:tcW w:w="1000" w:type="dxa"/>
            <w:tcBorders>
              <w:top w:val="nil"/>
              <w:left w:val="nil"/>
              <w:bottom w:val="nil"/>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20</w:t>
            </w:r>
          </w:p>
        </w:tc>
      </w:tr>
      <w:tr w:rsidR="003E7F73" w:rsidRPr="002F3BB0" w:rsidTr="00FC0572">
        <w:trPr>
          <w:trHeight w:val="264"/>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E7F73" w:rsidRPr="002F3BB0" w:rsidRDefault="003E7F73" w:rsidP="00FC0572">
            <w:pPr>
              <w:rPr>
                <w:rFonts w:ascii="Arial" w:hAnsi="Arial" w:cs="Arial"/>
                <w:i w:val="0"/>
              </w:rPr>
            </w:pPr>
            <w:r w:rsidRPr="002F3BB0">
              <w:rPr>
                <w:rFonts w:ascii="Arial" w:hAnsi="Arial" w:cs="Arial"/>
                <w:i w:val="0"/>
              </w:rPr>
              <w:t>Other expenses</w:t>
            </w:r>
          </w:p>
        </w:tc>
        <w:tc>
          <w:tcPr>
            <w:tcW w:w="100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28</w:t>
            </w:r>
          </w:p>
        </w:tc>
        <w:tc>
          <w:tcPr>
            <w:tcW w:w="98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28</w:t>
            </w:r>
          </w:p>
        </w:tc>
        <w:tc>
          <w:tcPr>
            <w:tcW w:w="96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30</w:t>
            </w:r>
          </w:p>
        </w:tc>
        <w:tc>
          <w:tcPr>
            <w:tcW w:w="98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-2</w:t>
            </w:r>
          </w:p>
        </w:tc>
        <w:tc>
          <w:tcPr>
            <w:tcW w:w="100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i w:val="0"/>
              </w:rPr>
            </w:pPr>
            <w:r w:rsidRPr="002F3BB0">
              <w:rPr>
                <w:rFonts w:ascii="Arial" w:hAnsi="Arial" w:cs="Arial"/>
                <w:i w:val="0"/>
              </w:rPr>
              <w:t>-2</w:t>
            </w:r>
          </w:p>
        </w:tc>
      </w:tr>
      <w:tr w:rsidR="003E7F73" w:rsidRPr="002F3BB0" w:rsidTr="00FC0572">
        <w:trPr>
          <w:trHeight w:val="264"/>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E7F73" w:rsidRPr="002F3BB0" w:rsidRDefault="003E7F73" w:rsidP="00FC0572">
            <w:pPr>
              <w:rPr>
                <w:rFonts w:ascii="Arial" w:hAnsi="Arial" w:cs="Arial"/>
                <w:b/>
                <w:bCs/>
                <w:i w:val="0"/>
              </w:rPr>
            </w:pPr>
            <w:r w:rsidRPr="002F3BB0">
              <w:rPr>
                <w:rFonts w:ascii="Arial" w:hAnsi="Arial" w:cs="Arial"/>
                <w:b/>
                <w:bCs/>
                <w:i w:val="0"/>
              </w:rPr>
              <w:t>Total expenses</w:t>
            </w:r>
          </w:p>
        </w:tc>
        <w:tc>
          <w:tcPr>
            <w:tcW w:w="100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5,323</w:t>
            </w:r>
          </w:p>
        </w:tc>
        <w:tc>
          <w:tcPr>
            <w:tcW w:w="98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5,255</w:t>
            </w:r>
          </w:p>
        </w:tc>
        <w:tc>
          <w:tcPr>
            <w:tcW w:w="96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5,362</w:t>
            </w:r>
          </w:p>
        </w:tc>
        <w:tc>
          <w:tcPr>
            <w:tcW w:w="98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-39</w:t>
            </w:r>
          </w:p>
        </w:tc>
        <w:tc>
          <w:tcPr>
            <w:tcW w:w="100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-107</w:t>
            </w:r>
          </w:p>
        </w:tc>
      </w:tr>
      <w:tr w:rsidR="003E7F73" w:rsidRPr="002F3BB0" w:rsidTr="00FC0572">
        <w:trPr>
          <w:trHeight w:val="276"/>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E7F73" w:rsidRPr="002F3BB0" w:rsidRDefault="003E7F73" w:rsidP="00FC0572">
            <w:pPr>
              <w:rPr>
                <w:rFonts w:ascii="Arial" w:hAnsi="Arial" w:cs="Arial"/>
                <w:b/>
                <w:bCs/>
                <w:i w:val="0"/>
              </w:rPr>
            </w:pPr>
            <w:r w:rsidRPr="002F3BB0">
              <w:rPr>
                <w:rFonts w:ascii="Arial" w:hAnsi="Arial" w:cs="Arial"/>
                <w:b/>
                <w:bCs/>
                <w:i w:val="0"/>
              </w:rPr>
              <w:t>Result - Surplus/(Deficit)</w:t>
            </w:r>
          </w:p>
        </w:tc>
        <w:tc>
          <w:tcPr>
            <w:tcW w:w="100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0</w:t>
            </w:r>
          </w:p>
        </w:tc>
        <w:tc>
          <w:tcPr>
            <w:tcW w:w="98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0</w:t>
            </w:r>
          </w:p>
        </w:tc>
        <w:tc>
          <w:tcPr>
            <w:tcW w:w="96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-75</w:t>
            </w:r>
          </w:p>
        </w:tc>
        <w:tc>
          <w:tcPr>
            <w:tcW w:w="98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-75</w:t>
            </w:r>
          </w:p>
        </w:tc>
        <w:tc>
          <w:tcPr>
            <w:tcW w:w="1000" w:type="dxa"/>
            <w:tcBorders>
              <w:top w:val="nil"/>
              <w:left w:val="nil"/>
              <w:bottom w:val="single" w:sz="4" w:space="0" w:color="auto"/>
              <w:right w:val="single" w:sz="4" w:space="0" w:color="auto"/>
            </w:tcBorders>
            <w:shd w:val="clear" w:color="auto" w:fill="auto"/>
            <w:noWrap/>
            <w:vAlign w:val="bottom"/>
            <w:hideMark/>
          </w:tcPr>
          <w:p w:rsidR="003E7F73" w:rsidRPr="002F3BB0" w:rsidRDefault="003E7F73" w:rsidP="00FC0572">
            <w:pPr>
              <w:jc w:val="right"/>
              <w:rPr>
                <w:rFonts w:ascii="Arial" w:hAnsi="Arial" w:cs="Arial"/>
                <w:b/>
                <w:bCs/>
                <w:i w:val="0"/>
              </w:rPr>
            </w:pPr>
            <w:r w:rsidRPr="002F3BB0">
              <w:rPr>
                <w:rFonts w:ascii="Arial" w:hAnsi="Arial" w:cs="Arial"/>
                <w:b/>
                <w:bCs/>
                <w:i w:val="0"/>
              </w:rPr>
              <w:t>-75</w:t>
            </w:r>
          </w:p>
        </w:tc>
      </w:tr>
    </w:tbl>
    <w:p w:rsidR="003E7F73" w:rsidRPr="00BF1570" w:rsidRDefault="00543B11" w:rsidP="00BF1570">
      <w:pPr>
        <w:pStyle w:val="ListParagraph"/>
        <w:spacing w:before="240" w:after="240" w:line="240" w:lineRule="auto"/>
        <w:rPr>
          <w:rFonts w:cstheme="minorHAnsi"/>
          <w:b/>
          <w:i w:val="0"/>
        </w:rPr>
      </w:pPr>
      <w:r w:rsidRPr="00BF1570">
        <w:rPr>
          <w:rFonts w:cstheme="minorHAnsi"/>
          <w:b/>
          <w:i w:val="0"/>
        </w:rPr>
        <w:t xml:space="preserve">Note: </w:t>
      </w:r>
      <w:r w:rsidR="003E7F73" w:rsidRPr="00BF1570">
        <w:rPr>
          <w:rFonts w:cstheme="minorHAnsi"/>
          <w:i w:val="0"/>
        </w:rPr>
        <w:t>Totals may not add due to rounding</w:t>
      </w:r>
    </w:p>
    <w:p w:rsidR="003E7F73" w:rsidRPr="002F3BB0" w:rsidRDefault="003E7F73" w:rsidP="00BF1570">
      <w:pPr>
        <w:spacing w:before="240" w:after="120" w:line="240" w:lineRule="auto"/>
        <w:rPr>
          <w:rFonts w:ascii="Arial" w:hAnsi="Arial" w:cs="Arial"/>
          <w:i w:val="0"/>
          <w:sz w:val="22"/>
          <w:szCs w:val="22"/>
        </w:rPr>
      </w:pPr>
      <w:r w:rsidRPr="002F3BB0">
        <w:rPr>
          <w:rFonts w:ascii="Arial" w:hAnsi="Arial" w:cs="Arial"/>
          <w:i w:val="0"/>
          <w:sz w:val="22"/>
          <w:szCs w:val="22"/>
        </w:rPr>
        <w:t>Explanation of Major Variations</w:t>
      </w:r>
    </w:p>
    <w:p w:rsidR="003E7F73" w:rsidRPr="00BF1570" w:rsidRDefault="003E7F73" w:rsidP="00BF1570">
      <w:pPr>
        <w:numPr>
          <w:ilvl w:val="0"/>
          <w:numId w:val="13"/>
        </w:numPr>
        <w:spacing w:before="120" w:after="0" w:line="240" w:lineRule="auto"/>
        <w:ind w:left="357" w:hanging="357"/>
        <w:rPr>
          <w:rFonts w:eastAsia="Times New Roman" w:cstheme="minorHAnsi"/>
          <w:i w:val="0"/>
          <w:sz w:val="22"/>
          <w:szCs w:val="22"/>
          <w:lang w:eastAsia="en-AU"/>
        </w:rPr>
      </w:pPr>
      <w:r w:rsidRPr="00BF1570">
        <w:rPr>
          <w:rFonts w:eastAsia="Times New Roman" w:cstheme="minorHAnsi"/>
          <w:i w:val="0"/>
          <w:sz w:val="22"/>
          <w:szCs w:val="22"/>
          <w:lang w:eastAsia="en-AU"/>
        </w:rPr>
        <w:t xml:space="preserve">Actual revenue from </w:t>
      </w:r>
      <w:r w:rsidR="00C37BDB">
        <w:rPr>
          <w:rFonts w:eastAsia="Times New Roman" w:cstheme="minorHAnsi"/>
          <w:i w:val="0"/>
          <w:sz w:val="22"/>
          <w:szCs w:val="22"/>
          <w:lang w:eastAsia="en-AU"/>
        </w:rPr>
        <w:t>u</w:t>
      </w:r>
      <w:r w:rsidRPr="00BF1570">
        <w:rPr>
          <w:rFonts w:eastAsia="Times New Roman" w:cstheme="minorHAnsi"/>
          <w:i w:val="0"/>
          <w:sz w:val="22"/>
          <w:szCs w:val="22"/>
          <w:lang w:eastAsia="en-AU"/>
        </w:rPr>
        <w:t>ser charges is $43,000 more than the Estimated Actual because training revenue in the last quarter of the year exceeded expectations.  The final result was within $10,000 of the initial Budget.</w:t>
      </w:r>
    </w:p>
    <w:p w:rsidR="003E7F73" w:rsidRPr="00BF1570" w:rsidRDefault="003E7F73" w:rsidP="00BF1570">
      <w:pPr>
        <w:numPr>
          <w:ilvl w:val="0"/>
          <w:numId w:val="13"/>
        </w:numPr>
        <w:spacing w:before="120" w:after="0" w:line="240" w:lineRule="auto"/>
        <w:ind w:left="357" w:hanging="357"/>
        <w:rPr>
          <w:rFonts w:eastAsia="Times New Roman" w:cstheme="minorHAnsi"/>
          <w:i w:val="0"/>
          <w:sz w:val="22"/>
          <w:szCs w:val="22"/>
          <w:lang w:eastAsia="en-AU"/>
        </w:rPr>
      </w:pPr>
      <w:r w:rsidRPr="00BF1570">
        <w:rPr>
          <w:rFonts w:eastAsia="Times New Roman" w:cstheme="minorHAnsi"/>
          <w:i w:val="0"/>
          <w:sz w:val="22"/>
          <w:szCs w:val="22"/>
          <w:lang w:eastAsia="en-AU"/>
        </w:rPr>
        <w:t xml:space="preserve">Savings in </w:t>
      </w:r>
      <w:r w:rsidR="00C37BDB">
        <w:rPr>
          <w:rFonts w:eastAsia="Times New Roman" w:cstheme="minorHAnsi"/>
          <w:i w:val="0"/>
          <w:sz w:val="22"/>
          <w:szCs w:val="22"/>
          <w:lang w:eastAsia="en-AU"/>
        </w:rPr>
        <w:t>e</w:t>
      </w:r>
      <w:r w:rsidRPr="00BF1570">
        <w:rPr>
          <w:rFonts w:eastAsia="Times New Roman" w:cstheme="minorHAnsi"/>
          <w:i w:val="0"/>
          <w:sz w:val="22"/>
          <w:szCs w:val="22"/>
          <w:lang w:eastAsia="en-AU"/>
        </w:rPr>
        <w:t xml:space="preserve">mployee expenses resulted from vacancies in the Brisbane Office.  These savings were offset by higher than anticipated costs in </w:t>
      </w:r>
      <w:r w:rsidR="00C37BDB">
        <w:rPr>
          <w:rFonts w:eastAsia="Times New Roman" w:cstheme="minorHAnsi"/>
          <w:i w:val="0"/>
          <w:sz w:val="22"/>
          <w:szCs w:val="22"/>
          <w:lang w:eastAsia="en-AU"/>
        </w:rPr>
        <w:t>s</w:t>
      </w:r>
      <w:r w:rsidRPr="00BF1570">
        <w:rPr>
          <w:rFonts w:eastAsia="Times New Roman" w:cstheme="minorHAnsi"/>
          <w:i w:val="0"/>
          <w:sz w:val="22"/>
          <w:szCs w:val="22"/>
          <w:lang w:eastAsia="en-AU"/>
        </w:rPr>
        <w:t>upplies and services.</w:t>
      </w:r>
    </w:p>
    <w:p w:rsidR="003E7F73" w:rsidRPr="00BF1570" w:rsidRDefault="003E7F73" w:rsidP="00BF1570">
      <w:pPr>
        <w:numPr>
          <w:ilvl w:val="0"/>
          <w:numId w:val="13"/>
        </w:numPr>
        <w:spacing w:before="120" w:after="0" w:line="240" w:lineRule="auto"/>
        <w:ind w:left="357" w:hanging="357"/>
        <w:rPr>
          <w:rFonts w:eastAsia="Times New Roman" w:cstheme="minorHAnsi"/>
          <w:i w:val="0"/>
          <w:sz w:val="22"/>
          <w:szCs w:val="22"/>
          <w:lang w:eastAsia="en-AU"/>
        </w:rPr>
      </w:pPr>
      <w:r w:rsidRPr="00BF1570">
        <w:rPr>
          <w:rFonts w:eastAsia="Times New Roman" w:cstheme="minorHAnsi"/>
          <w:i w:val="0"/>
          <w:sz w:val="22"/>
          <w:szCs w:val="22"/>
          <w:lang w:eastAsia="en-AU"/>
        </w:rPr>
        <w:t xml:space="preserve">The increase in </w:t>
      </w:r>
      <w:r w:rsidR="00C37BDB">
        <w:rPr>
          <w:rFonts w:eastAsia="Times New Roman" w:cstheme="minorHAnsi"/>
          <w:i w:val="0"/>
          <w:sz w:val="22"/>
          <w:szCs w:val="22"/>
          <w:lang w:eastAsia="en-AU"/>
        </w:rPr>
        <w:t>s</w:t>
      </w:r>
      <w:r w:rsidRPr="00BF1570">
        <w:rPr>
          <w:rFonts w:eastAsia="Times New Roman" w:cstheme="minorHAnsi"/>
          <w:i w:val="0"/>
          <w:sz w:val="22"/>
          <w:szCs w:val="22"/>
          <w:lang w:eastAsia="en-AU"/>
        </w:rPr>
        <w:t>upplies and services mainly relates to one-off costs associated with the relocation of regional offices, the removal of an exemption for payroll tax and hos</w:t>
      </w:r>
      <w:r w:rsidR="00C37BDB">
        <w:rPr>
          <w:rFonts w:eastAsia="Times New Roman" w:cstheme="minorHAnsi"/>
          <w:i w:val="0"/>
          <w:sz w:val="22"/>
          <w:szCs w:val="22"/>
          <w:lang w:eastAsia="en-AU"/>
        </w:rPr>
        <w:t xml:space="preserve">ting of the </w:t>
      </w:r>
      <w:proofErr w:type="spellStart"/>
      <w:r w:rsidR="00C37BDB">
        <w:rPr>
          <w:rFonts w:eastAsia="Times New Roman" w:cstheme="minorHAnsi"/>
          <w:i w:val="0"/>
          <w:sz w:val="22"/>
          <w:szCs w:val="22"/>
          <w:lang w:eastAsia="en-AU"/>
        </w:rPr>
        <w:t>Mabo</w:t>
      </w:r>
      <w:proofErr w:type="spellEnd"/>
      <w:r w:rsidR="00C37BDB">
        <w:rPr>
          <w:rFonts w:eastAsia="Times New Roman" w:cstheme="minorHAnsi"/>
          <w:i w:val="0"/>
          <w:sz w:val="22"/>
          <w:szCs w:val="22"/>
          <w:lang w:eastAsia="en-AU"/>
        </w:rPr>
        <w:t xml:space="preserve"> Oration.  The C</w:t>
      </w:r>
      <w:r w:rsidRPr="00BF1570">
        <w:rPr>
          <w:rFonts w:eastAsia="Times New Roman" w:cstheme="minorHAnsi"/>
          <w:i w:val="0"/>
          <w:sz w:val="22"/>
          <w:szCs w:val="22"/>
          <w:lang w:eastAsia="en-AU"/>
        </w:rPr>
        <w:t>ommission decided to fund these costs from retained earnings rather than the annual budget.</w:t>
      </w:r>
    </w:p>
    <w:p w:rsidR="003E7F73" w:rsidRPr="00BF1570" w:rsidRDefault="003E7F73" w:rsidP="00BF1570">
      <w:pPr>
        <w:numPr>
          <w:ilvl w:val="0"/>
          <w:numId w:val="13"/>
        </w:numPr>
        <w:spacing w:before="120" w:after="0" w:line="240" w:lineRule="auto"/>
        <w:ind w:left="357" w:hanging="357"/>
        <w:rPr>
          <w:rFonts w:eastAsia="Times New Roman" w:cstheme="minorHAnsi"/>
          <w:i w:val="0"/>
          <w:sz w:val="22"/>
          <w:szCs w:val="22"/>
          <w:lang w:eastAsia="en-AU"/>
        </w:rPr>
      </w:pPr>
      <w:r w:rsidRPr="00BF1570">
        <w:rPr>
          <w:rFonts w:eastAsia="Times New Roman" w:cstheme="minorHAnsi"/>
          <w:i w:val="0"/>
          <w:sz w:val="22"/>
          <w:szCs w:val="22"/>
          <w:lang w:eastAsia="en-AU"/>
        </w:rPr>
        <w:t xml:space="preserve">Savings in </w:t>
      </w:r>
      <w:r w:rsidR="00C37BDB">
        <w:rPr>
          <w:rFonts w:eastAsia="Times New Roman" w:cstheme="minorHAnsi"/>
          <w:i w:val="0"/>
          <w:sz w:val="22"/>
          <w:szCs w:val="22"/>
          <w:lang w:eastAsia="en-AU"/>
        </w:rPr>
        <w:t>d</w:t>
      </w:r>
      <w:r w:rsidRPr="00BF1570">
        <w:rPr>
          <w:rFonts w:eastAsia="Times New Roman" w:cstheme="minorHAnsi"/>
          <w:i w:val="0"/>
          <w:sz w:val="22"/>
          <w:szCs w:val="22"/>
          <w:lang w:eastAsia="en-AU"/>
        </w:rPr>
        <w:t>epreciation/amortisation resulted from the later than expected finalisation of the software upgrade of the complaint management system.</w:t>
      </w:r>
    </w:p>
    <w:p w:rsidR="00BF1570" w:rsidRDefault="00BF1570">
      <w:pPr>
        <w:rPr>
          <w:i w:val="0"/>
        </w:rPr>
      </w:pPr>
      <w:r>
        <w:rPr>
          <w:i w:val="0"/>
        </w:rPr>
        <w:br w:type="page"/>
      </w:r>
    </w:p>
    <w:p w:rsidR="00C9506D" w:rsidRPr="002F3BB0" w:rsidRDefault="00C9506D" w:rsidP="002C413F">
      <w:pPr>
        <w:pStyle w:val="Heading2"/>
        <w:rPr>
          <w:rFonts w:cstheme="minorHAnsi"/>
          <w:b w:val="0"/>
          <w:i/>
        </w:rPr>
      </w:pPr>
      <w:r w:rsidRPr="002C413F">
        <w:lastRenderedPageBreak/>
        <w:t>Assets</w:t>
      </w:r>
      <w:bookmarkEnd w:id="69"/>
      <w:bookmarkEnd w:id="70"/>
    </w:p>
    <w:p w:rsidR="003E7F73" w:rsidRPr="003E7F73" w:rsidRDefault="003E7F73" w:rsidP="00BF1570">
      <w:pPr>
        <w:keepNext/>
        <w:keepLines/>
        <w:spacing w:after="240" w:line="240" w:lineRule="auto"/>
        <w:rPr>
          <w:rFonts w:ascii="Arial" w:hAnsi="Arial" w:cs="Arial"/>
          <w:i w:val="0"/>
          <w:sz w:val="22"/>
          <w:szCs w:val="22"/>
        </w:rPr>
      </w:pPr>
      <w:r w:rsidRPr="002F3BB0">
        <w:rPr>
          <w:rFonts w:ascii="Arial" w:hAnsi="Arial" w:cs="Arial"/>
          <w:i w:val="0"/>
          <w:sz w:val="22"/>
          <w:szCs w:val="22"/>
        </w:rPr>
        <w:t>Total assets did not change materially over the course of the financial year and are valued at $2.4 million at 30 June 2014.  Current assets are valued at $0.7 million and are available to meet current liabilities which are valued at $0.5 million. The ADCQ remains well positioned to meet all its obligations as they fall due.</w:t>
      </w:r>
    </w:p>
    <w:p w:rsidR="00A83182" w:rsidRPr="008716A0" w:rsidRDefault="00A83182" w:rsidP="00BF1570">
      <w:pPr>
        <w:pStyle w:val="Caption"/>
        <w:spacing w:before="240" w:after="240" w:line="240" w:lineRule="auto"/>
        <w:rPr>
          <w:rFonts w:cs="Arial"/>
          <w:i w:val="0"/>
          <w:sz w:val="20"/>
        </w:rPr>
      </w:pPr>
      <w:r w:rsidRPr="008716A0">
        <w:rPr>
          <w:rFonts w:cs="Arial"/>
          <w:i w:val="0"/>
          <w:sz w:val="20"/>
        </w:rPr>
        <w:t xml:space="preserve">Graph </w:t>
      </w:r>
      <w:r w:rsidRPr="008716A0">
        <w:rPr>
          <w:rFonts w:cs="Arial"/>
          <w:i w:val="0"/>
          <w:sz w:val="20"/>
        </w:rPr>
        <w:fldChar w:fldCharType="begin"/>
      </w:r>
      <w:r w:rsidRPr="008716A0">
        <w:rPr>
          <w:rFonts w:cs="Arial"/>
          <w:i w:val="0"/>
          <w:sz w:val="20"/>
        </w:rPr>
        <w:instrText xml:space="preserve"> SEQ Graph \* ARABIC </w:instrText>
      </w:r>
      <w:r w:rsidRPr="008716A0">
        <w:rPr>
          <w:rFonts w:cs="Arial"/>
          <w:i w:val="0"/>
          <w:sz w:val="20"/>
        </w:rPr>
        <w:fldChar w:fldCharType="separate"/>
      </w:r>
      <w:r w:rsidR="00860326">
        <w:rPr>
          <w:rFonts w:cs="Arial"/>
          <w:i w:val="0"/>
          <w:noProof/>
          <w:sz w:val="20"/>
        </w:rPr>
        <w:t>5</w:t>
      </w:r>
      <w:r w:rsidRPr="008716A0">
        <w:rPr>
          <w:rFonts w:cs="Arial"/>
          <w:i w:val="0"/>
          <w:sz w:val="20"/>
        </w:rPr>
        <w:fldChar w:fldCharType="end"/>
      </w:r>
      <w:r w:rsidR="0033101E" w:rsidRPr="008716A0">
        <w:rPr>
          <w:rFonts w:cs="Arial"/>
          <w:i w:val="0"/>
          <w:sz w:val="20"/>
        </w:rPr>
        <w:t>:</w:t>
      </w:r>
      <w:r w:rsidRPr="008716A0">
        <w:rPr>
          <w:rFonts w:cs="Arial"/>
          <w:i w:val="0"/>
          <w:sz w:val="20"/>
        </w:rPr>
        <w:t xml:space="preserve"> Asset portfolio</w:t>
      </w:r>
    </w:p>
    <w:p w:rsidR="00C9506D" w:rsidRPr="00190AE2" w:rsidRDefault="00A83182" w:rsidP="00190AE2">
      <w:pPr>
        <w:jc w:val="center"/>
      </w:pPr>
      <w:r>
        <w:rPr>
          <w:noProof/>
          <w:lang w:eastAsia="en-AU"/>
        </w:rPr>
        <w:drawing>
          <wp:inline distT="0" distB="0" distL="0" distR="0" wp14:anchorId="0C2BCFC2" wp14:editId="07CDFE47">
            <wp:extent cx="4091940" cy="2636520"/>
            <wp:effectExtent l="0" t="0" r="3810" b="0"/>
            <wp:docPr id="15" name="Chart 15" descr="Asset portfolio"/>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9506D" w:rsidRPr="002F3BB0" w:rsidRDefault="00C9506D" w:rsidP="002C413F">
      <w:pPr>
        <w:pStyle w:val="Heading2"/>
        <w:rPr>
          <w:rFonts w:cstheme="minorHAnsi"/>
          <w:b w:val="0"/>
          <w:i/>
        </w:rPr>
      </w:pPr>
      <w:bookmarkStart w:id="71" w:name="_Toc240787711"/>
      <w:bookmarkStart w:id="72" w:name="_Toc243284339"/>
      <w:r w:rsidRPr="002C413F">
        <w:t>Liabilities</w:t>
      </w:r>
      <w:bookmarkEnd w:id="71"/>
      <w:bookmarkEnd w:id="72"/>
      <w:r w:rsidRPr="002F3BB0">
        <w:rPr>
          <w:rFonts w:cstheme="minorHAnsi"/>
          <w:b w:val="0"/>
          <w:i/>
        </w:rPr>
        <w:t xml:space="preserve"> </w:t>
      </w:r>
    </w:p>
    <w:p w:rsidR="00A83182" w:rsidRDefault="00A83182" w:rsidP="00BF1570">
      <w:pPr>
        <w:spacing w:after="240" w:line="240" w:lineRule="auto"/>
        <w:rPr>
          <w:rFonts w:ascii="Arial" w:hAnsi="Arial" w:cs="Arial"/>
          <w:i w:val="0"/>
          <w:sz w:val="22"/>
          <w:szCs w:val="22"/>
        </w:rPr>
      </w:pPr>
      <w:r w:rsidRPr="002F3BB0">
        <w:rPr>
          <w:rFonts w:ascii="Arial" w:hAnsi="Arial" w:cs="Arial"/>
          <w:i w:val="0"/>
          <w:sz w:val="22"/>
          <w:szCs w:val="22"/>
        </w:rPr>
        <w:t>Total liabilities at 30 June 2014 were about $0.9 million. The largest single liability is $0.5 million for a lease incentive associated with the Brisbane office accommodation. This liability will be discharged over the life of the fit-out assets created during the relocation. It has no cash effect as it is balanced by the increased asset value in the ADCQ. The remaining liabilities mainly relate to accrued employee entitlements and trade creditors.</w:t>
      </w:r>
    </w:p>
    <w:p w:rsidR="00A83182" w:rsidRPr="008716A0" w:rsidRDefault="00A83182" w:rsidP="00BF1570">
      <w:pPr>
        <w:pStyle w:val="Caption"/>
        <w:spacing w:before="240" w:after="240" w:line="240" w:lineRule="auto"/>
        <w:rPr>
          <w:rFonts w:cs="Arial"/>
          <w:i w:val="0"/>
          <w:sz w:val="20"/>
        </w:rPr>
      </w:pPr>
      <w:bookmarkStart w:id="73" w:name="_Toc243207820"/>
      <w:r w:rsidRPr="008716A0">
        <w:rPr>
          <w:rFonts w:cs="Arial"/>
          <w:i w:val="0"/>
          <w:sz w:val="20"/>
        </w:rPr>
        <w:t xml:space="preserve">Graph </w:t>
      </w:r>
      <w:r w:rsidRPr="008716A0">
        <w:rPr>
          <w:rFonts w:cs="Arial"/>
          <w:i w:val="0"/>
          <w:sz w:val="20"/>
        </w:rPr>
        <w:fldChar w:fldCharType="begin"/>
      </w:r>
      <w:r w:rsidRPr="008716A0">
        <w:rPr>
          <w:rFonts w:cs="Arial"/>
          <w:i w:val="0"/>
          <w:sz w:val="20"/>
        </w:rPr>
        <w:instrText xml:space="preserve"> SEQ Graph \* ARABIC </w:instrText>
      </w:r>
      <w:r w:rsidRPr="008716A0">
        <w:rPr>
          <w:rFonts w:cs="Arial"/>
          <w:i w:val="0"/>
          <w:sz w:val="20"/>
        </w:rPr>
        <w:fldChar w:fldCharType="separate"/>
      </w:r>
      <w:r w:rsidR="00860326">
        <w:rPr>
          <w:rFonts w:cs="Arial"/>
          <w:i w:val="0"/>
          <w:noProof/>
          <w:sz w:val="20"/>
        </w:rPr>
        <w:t>6</w:t>
      </w:r>
      <w:r w:rsidRPr="008716A0">
        <w:rPr>
          <w:rFonts w:cs="Arial"/>
          <w:i w:val="0"/>
          <w:sz w:val="20"/>
        </w:rPr>
        <w:fldChar w:fldCharType="end"/>
      </w:r>
      <w:r w:rsidR="0033101E" w:rsidRPr="008716A0">
        <w:rPr>
          <w:rFonts w:cs="Arial"/>
          <w:i w:val="0"/>
          <w:sz w:val="20"/>
        </w:rPr>
        <w:t>:</w:t>
      </w:r>
      <w:r w:rsidRPr="008716A0">
        <w:rPr>
          <w:rFonts w:cs="Arial"/>
          <w:i w:val="0"/>
          <w:sz w:val="20"/>
        </w:rPr>
        <w:t xml:space="preserve"> Liability composition</w:t>
      </w:r>
      <w:bookmarkEnd w:id="73"/>
    </w:p>
    <w:p w:rsidR="00A83182" w:rsidRPr="00A83182" w:rsidRDefault="00A83182" w:rsidP="00A83182">
      <w:pPr>
        <w:spacing w:after="240"/>
        <w:jc w:val="center"/>
        <w:rPr>
          <w:rFonts w:ascii="Arial" w:hAnsi="Arial" w:cs="Arial"/>
          <w:i w:val="0"/>
          <w:sz w:val="22"/>
          <w:szCs w:val="22"/>
        </w:rPr>
      </w:pPr>
      <w:r>
        <w:rPr>
          <w:noProof/>
          <w:lang w:eastAsia="en-AU"/>
        </w:rPr>
        <w:drawing>
          <wp:inline distT="0" distB="0" distL="0" distR="0" wp14:anchorId="04A09122" wp14:editId="1EEC86B1">
            <wp:extent cx="4084320" cy="2636520"/>
            <wp:effectExtent l="0" t="0" r="0" b="0"/>
            <wp:docPr id="17" name="Chart 17" descr="Liability composi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1490F" w:rsidRDefault="0031490F">
      <w:pPr>
        <w:rPr>
          <w:rFonts w:eastAsiaTheme="majorEastAsia" w:cstheme="minorHAnsi"/>
          <w:b/>
          <w:bCs/>
          <w:i w:val="0"/>
          <w:sz w:val="22"/>
          <w:szCs w:val="22"/>
        </w:rPr>
      </w:pPr>
      <w:bookmarkStart w:id="74" w:name="_Toc366487308"/>
      <w:bookmarkEnd w:id="52"/>
      <w:bookmarkEnd w:id="53"/>
      <w:r>
        <w:rPr>
          <w:rFonts w:cstheme="minorHAnsi"/>
          <w:i w:val="0"/>
        </w:rPr>
        <w:br w:type="page"/>
      </w:r>
    </w:p>
    <w:p w:rsidR="00E371F5" w:rsidRPr="002A0F92" w:rsidRDefault="00E371F5" w:rsidP="005F399E">
      <w:pPr>
        <w:pStyle w:val="Heading1"/>
        <w:rPr>
          <w:rFonts w:asciiTheme="minorHAnsi" w:hAnsiTheme="minorHAnsi" w:cstheme="minorHAnsi"/>
          <w:i w:val="0"/>
          <w:color w:val="auto"/>
        </w:rPr>
      </w:pPr>
      <w:bookmarkStart w:id="75" w:name="_Toc397345686"/>
      <w:r w:rsidRPr="002A0F92">
        <w:rPr>
          <w:rFonts w:asciiTheme="minorHAnsi" w:hAnsiTheme="minorHAnsi" w:cstheme="minorHAnsi"/>
          <w:i w:val="0"/>
          <w:color w:val="auto"/>
        </w:rPr>
        <w:lastRenderedPageBreak/>
        <w:t>Financial statements</w:t>
      </w:r>
      <w:bookmarkEnd w:id="74"/>
      <w:bookmarkEnd w:id="75"/>
    </w:p>
    <w:p w:rsidR="00C9506D" w:rsidRPr="0031490F" w:rsidRDefault="00DD77AA" w:rsidP="002C413F">
      <w:pPr>
        <w:pStyle w:val="Heading2"/>
      </w:pPr>
      <w:hyperlink w:anchor="_Toc230068497" w:history="1">
        <w:bookmarkStart w:id="76" w:name="_Toc240787713"/>
        <w:bookmarkStart w:id="77" w:name="_Toc243284341"/>
        <w:r w:rsidR="00C9506D" w:rsidRPr="0031490F">
          <w:t>Certification of financial statements</w:t>
        </w:r>
        <w:bookmarkEnd w:id="76"/>
        <w:bookmarkEnd w:id="77"/>
      </w:hyperlink>
    </w:p>
    <w:p w:rsidR="00C9506D" w:rsidRPr="002F3BB0" w:rsidRDefault="00C9506D" w:rsidP="0031490F">
      <w:pPr>
        <w:spacing w:before="120" w:after="0" w:line="240" w:lineRule="auto"/>
        <w:rPr>
          <w:rFonts w:cstheme="minorHAnsi"/>
          <w:i w:val="0"/>
          <w:sz w:val="22"/>
          <w:szCs w:val="22"/>
        </w:rPr>
      </w:pPr>
      <w:r w:rsidRPr="002F3BB0">
        <w:rPr>
          <w:rFonts w:cstheme="minorHAnsi"/>
          <w:i w:val="0"/>
          <w:sz w:val="22"/>
          <w:szCs w:val="22"/>
        </w:rPr>
        <w:t>The Certification of financial statements accompanies the annual report or can be viewed at www.adcq.qld.gov.au.</w:t>
      </w:r>
    </w:p>
    <w:p w:rsidR="00C9506D" w:rsidRPr="002F3BB0" w:rsidRDefault="00C9506D" w:rsidP="002C413F">
      <w:pPr>
        <w:pStyle w:val="Heading2"/>
      </w:pPr>
      <w:bookmarkStart w:id="78" w:name="_Toc243284342"/>
      <w:r w:rsidRPr="002F3BB0">
        <w:t>Independent auditor’s report</w:t>
      </w:r>
      <w:bookmarkEnd w:id="78"/>
    </w:p>
    <w:p w:rsidR="00C9506D" w:rsidRPr="002A0F92" w:rsidRDefault="00C9506D" w:rsidP="0031490F">
      <w:pPr>
        <w:spacing w:before="120" w:after="0" w:line="240" w:lineRule="auto"/>
        <w:rPr>
          <w:rFonts w:cstheme="minorHAnsi"/>
          <w:color w:val="FF0000"/>
          <w:sz w:val="22"/>
          <w:szCs w:val="22"/>
        </w:rPr>
      </w:pPr>
      <w:r w:rsidRPr="002F3BB0">
        <w:rPr>
          <w:rFonts w:cstheme="minorHAnsi"/>
          <w:i w:val="0"/>
          <w:sz w:val="22"/>
          <w:szCs w:val="22"/>
        </w:rPr>
        <w:t xml:space="preserve">The independent auditor’s report accompanies the annual report or can be viewed </w:t>
      </w:r>
      <w:r w:rsidR="0098206F">
        <w:rPr>
          <w:rFonts w:cstheme="minorHAnsi"/>
          <w:i w:val="0"/>
          <w:sz w:val="22"/>
          <w:szCs w:val="22"/>
        </w:rPr>
        <w:t>on the ADCQ’s website (w</w:t>
      </w:r>
      <w:r w:rsidRPr="002F3BB0">
        <w:rPr>
          <w:rFonts w:cstheme="minorHAnsi"/>
          <w:i w:val="0"/>
          <w:sz w:val="22"/>
          <w:szCs w:val="22"/>
        </w:rPr>
        <w:t>ww.adcq.qld.gov.au.</w:t>
      </w:r>
      <w:r w:rsidR="0098206F">
        <w:rPr>
          <w:rFonts w:cstheme="minorHAnsi"/>
          <w:i w:val="0"/>
          <w:sz w:val="22"/>
          <w:szCs w:val="22"/>
        </w:rPr>
        <w:t>)</w:t>
      </w:r>
    </w:p>
    <w:p w:rsidR="008F545E" w:rsidRPr="002A0F92" w:rsidRDefault="008F545E" w:rsidP="00D27A67">
      <w:pPr>
        <w:pStyle w:val="Heading1"/>
        <w:pageBreakBefore/>
        <w:rPr>
          <w:rFonts w:asciiTheme="minorHAnsi" w:eastAsia="Times New Roman" w:hAnsiTheme="minorHAnsi" w:cstheme="minorHAnsi"/>
          <w:i w:val="0"/>
          <w:color w:val="auto"/>
          <w:lang w:eastAsia="en-AU"/>
        </w:rPr>
      </w:pPr>
      <w:bookmarkStart w:id="79" w:name="_Ref220307104"/>
      <w:bookmarkStart w:id="80" w:name="_Toc240787715"/>
      <w:bookmarkStart w:id="81" w:name="_Toc242069894"/>
      <w:bookmarkStart w:id="82" w:name="_Toc243284343"/>
      <w:bookmarkStart w:id="83" w:name="_Toc366487309"/>
      <w:bookmarkStart w:id="84" w:name="_Toc397345687"/>
      <w:r w:rsidRPr="002A0F92">
        <w:rPr>
          <w:rFonts w:asciiTheme="minorHAnsi" w:eastAsia="Times New Roman" w:hAnsiTheme="minorHAnsi" w:cstheme="minorHAnsi"/>
          <w:i w:val="0"/>
          <w:color w:val="auto"/>
          <w:lang w:eastAsia="en-AU"/>
        </w:rPr>
        <w:lastRenderedPageBreak/>
        <w:t>Appendix A</w:t>
      </w:r>
      <w:bookmarkEnd w:id="79"/>
      <w:r w:rsidR="0098206F">
        <w:rPr>
          <w:rFonts w:asciiTheme="minorHAnsi" w:eastAsia="Times New Roman" w:hAnsiTheme="minorHAnsi" w:cstheme="minorHAnsi"/>
          <w:i w:val="0"/>
          <w:color w:val="auto"/>
          <w:lang w:eastAsia="en-AU"/>
        </w:rPr>
        <w:t xml:space="preserve">: </w:t>
      </w:r>
      <w:r w:rsidRPr="002A0F92">
        <w:rPr>
          <w:rFonts w:asciiTheme="minorHAnsi" w:eastAsia="Times New Roman" w:hAnsiTheme="minorHAnsi" w:cstheme="minorHAnsi"/>
          <w:i w:val="0"/>
          <w:color w:val="auto"/>
          <w:lang w:eastAsia="en-AU"/>
        </w:rPr>
        <w:t>Glossary of terms</w:t>
      </w:r>
      <w:bookmarkEnd w:id="80"/>
      <w:bookmarkEnd w:id="81"/>
      <w:bookmarkEnd w:id="82"/>
      <w:bookmarkEnd w:id="83"/>
      <w:bookmarkEnd w:id="84"/>
    </w:p>
    <w:tbl>
      <w:tblPr>
        <w:tblStyle w:val="LightList-Accent5"/>
        <w:tblW w:w="0" w:type="auto"/>
        <w:tblLook w:val="01E0" w:firstRow="1" w:lastRow="1" w:firstColumn="1" w:lastColumn="1" w:noHBand="0" w:noVBand="0"/>
        <w:tblDescription w:val="Glossary of terms"/>
      </w:tblPr>
      <w:tblGrid>
        <w:gridCol w:w="1561"/>
        <w:gridCol w:w="8294"/>
      </w:tblGrid>
      <w:tr w:rsidR="008F545E" w:rsidRPr="002A0F92" w:rsidTr="00585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545E" w:rsidRPr="002A0F92" w:rsidRDefault="008F545E" w:rsidP="00CC5A8E">
            <w:pPr>
              <w:spacing w:before="40" w:after="40"/>
              <w:rPr>
                <w:rFonts w:eastAsia="Times New Roman" w:cstheme="minorHAnsi"/>
                <w:b w:val="0"/>
                <w:bCs w:val="0"/>
                <w:i w:val="0"/>
                <w:sz w:val="22"/>
                <w:szCs w:val="22"/>
                <w:lang w:eastAsia="en-AU"/>
              </w:rPr>
            </w:pPr>
            <w:r w:rsidRPr="002A0F92">
              <w:rPr>
                <w:rFonts w:eastAsia="Times New Roman" w:cstheme="minorHAnsi"/>
                <w:b w:val="0"/>
                <w:bCs w:val="0"/>
                <w:i w:val="0"/>
                <w:sz w:val="22"/>
                <w:szCs w:val="22"/>
                <w:lang w:eastAsia="en-AU"/>
              </w:rPr>
              <w:t>Term</w:t>
            </w:r>
          </w:p>
        </w:tc>
        <w:tc>
          <w:tcPr>
            <w:cnfStyle w:val="000100000000" w:firstRow="0" w:lastRow="0" w:firstColumn="0" w:lastColumn="1" w:oddVBand="0" w:evenVBand="0" w:oddHBand="0" w:evenHBand="0" w:firstRowFirstColumn="0" w:firstRowLastColumn="0" w:lastRowFirstColumn="0" w:lastRowLastColumn="0"/>
            <w:tcW w:w="0" w:type="auto"/>
          </w:tcPr>
          <w:p w:rsidR="008F545E" w:rsidRPr="002A0F92" w:rsidRDefault="008F545E" w:rsidP="00CC5A8E">
            <w:pPr>
              <w:spacing w:before="40" w:after="40"/>
              <w:rPr>
                <w:rFonts w:eastAsia="Times New Roman" w:cstheme="minorHAnsi"/>
                <w:b w:val="0"/>
                <w:bCs w:val="0"/>
                <w:i w:val="0"/>
                <w:sz w:val="22"/>
                <w:szCs w:val="22"/>
                <w:lang w:eastAsia="en-AU"/>
              </w:rPr>
            </w:pPr>
            <w:r w:rsidRPr="002A0F92">
              <w:rPr>
                <w:rFonts w:eastAsia="Times New Roman" w:cstheme="minorHAnsi"/>
                <w:b w:val="0"/>
                <w:bCs w:val="0"/>
                <w:i w:val="0"/>
                <w:sz w:val="22"/>
                <w:szCs w:val="22"/>
                <w:lang w:eastAsia="en-AU"/>
              </w:rPr>
              <w:t>Description</w:t>
            </w:r>
          </w:p>
        </w:tc>
      </w:tr>
      <w:tr w:rsidR="008F545E"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the Act</w:t>
            </w:r>
          </w:p>
        </w:tc>
        <w:tc>
          <w:tcPr>
            <w:cnfStyle w:val="000100000000" w:firstRow="0" w:lastRow="0" w:firstColumn="0" w:lastColumn="1"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 xml:space="preserve">the </w:t>
            </w:r>
            <w:r w:rsidRPr="00585B86">
              <w:rPr>
                <w:rFonts w:eastAsia="Times New Roman" w:cstheme="minorHAnsi"/>
                <w:b w:val="0"/>
                <w:sz w:val="22"/>
                <w:szCs w:val="22"/>
                <w:lang w:eastAsia="en-AU"/>
              </w:rPr>
              <w:t>Anti-Discrimination Act 1991</w:t>
            </w:r>
            <w:r w:rsidRPr="00585B86">
              <w:rPr>
                <w:rFonts w:eastAsia="Times New Roman" w:cstheme="minorHAnsi"/>
                <w:b w:val="0"/>
                <w:i w:val="0"/>
                <w:sz w:val="22"/>
                <w:szCs w:val="22"/>
                <w:lang w:eastAsia="en-AU"/>
              </w:rPr>
              <w:t xml:space="preserve"> (Qld)</w:t>
            </w:r>
          </w:p>
        </w:tc>
      </w:tr>
      <w:tr w:rsidR="008F545E" w:rsidRPr="00585B86" w:rsidTr="00585B86">
        <w:tc>
          <w:tcPr>
            <w:cnfStyle w:val="001000000000" w:firstRow="0" w:lastRow="0" w:firstColumn="1" w:lastColumn="0"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ADCQ</w:t>
            </w:r>
          </w:p>
        </w:tc>
        <w:tc>
          <w:tcPr>
            <w:cnfStyle w:val="000100000000" w:firstRow="0" w:lastRow="0" w:firstColumn="0" w:lastColumn="1"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Anti-Discrimination Commission Queensland</w:t>
            </w:r>
          </w:p>
        </w:tc>
      </w:tr>
      <w:tr w:rsidR="008F545E"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the Code</w:t>
            </w:r>
          </w:p>
        </w:tc>
        <w:tc>
          <w:tcPr>
            <w:cnfStyle w:val="000100000000" w:firstRow="0" w:lastRow="0" w:firstColumn="0" w:lastColumn="1"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sz w:val="22"/>
                <w:szCs w:val="22"/>
                <w:lang w:eastAsia="en-AU"/>
              </w:rPr>
            </w:pPr>
            <w:r w:rsidRPr="00585B86">
              <w:rPr>
                <w:rFonts w:eastAsia="Times New Roman" w:cstheme="minorHAnsi"/>
                <w:b w:val="0"/>
                <w:i w:val="0"/>
                <w:sz w:val="22"/>
                <w:szCs w:val="22"/>
                <w:lang w:eastAsia="en-AU"/>
              </w:rPr>
              <w:t>The</w:t>
            </w:r>
            <w:r w:rsidRPr="00585B86">
              <w:rPr>
                <w:rFonts w:eastAsia="Times New Roman" w:cstheme="minorHAnsi"/>
                <w:b w:val="0"/>
                <w:sz w:val="22"/>
                <w:szCs w:val="22"/>
                <w:lang w:eastAsia="en-AU"/>
              </w:rPr>
              <w:t xml:space="preserve"> Code of Conduct for the Queensland Public Service </w:t>
            </w:r>
          </w:p>
        </w:tc>
      </w:tr>
      <w:tr w:rsidR="008F545E" w:rsidRPr="00585B86" w:rsidTr="00585B86">
        <w:tc>
          <w:tcPr>
            <w:cnfStyle w:val="001000000000" w:firstRow="0" w:lastRow="0" w:firstColumn="1" w:lastColumn="0"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complaint</w:t>
            </w:r>
          </w:p>
        </w:tc>
        <w:tc>
          <w:tcPr>
            <w:cnfStyle w:val="000100000000" w:firstRow="0" w:lastRow="0" w:firstColumn="0" w:lastColumn="1"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Means a complaint made under the Act. A complaint must:</w:t>
            </w:r>
          </w:p>
          <w:p w:rsidR="008F545E" w:rsidRPr="00585B86" w:rsidRDefault="008F545E" w:rsidP="00A837E5">
            <w:pPr>
              <w:numPr>
                <w:ilvl w:val="0"/>
                <w:numId w:val="3"/>
              </w:num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be in writing;</w:t>
            </w:r>
          </w:p>
          <w:p w:rsidR="008F545E" w:rsidRPr="00585B86" w:rsidRDefault="008F545E" w:rsidP="00A837E5">
            <w:pPr>
              <w:numPr>
                <w:ilvl w:val="0"/>
                <w:numId w:val="3"/>
              </w:num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set out reasonably sufficient details to indicate an alleged contravention of the Act;</w:t>
            </w:r>
          </w:p>
          <w:p w:rsidR="008F545E" w:rsidRPr="00585B86" w:rsidRDefault="008F545E" w:rsidP="00A837E5">
            <w:pPr>
              <w:numPr>
                <w:ilvl w:val="0"/>
                <w:numId w:val="3"/>
              </w:num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state the complainant’s address for service;</w:t>
            </w:r>
          </w:p>
          <w:p w:rsidR="008F545E" w:rsidRPr="00585B86" w:rsidRDefault="008F545E" w:rsidP="00A837E5">
            <w:pPr>
              <w:numPr>
                <w:ilvl w:val="0"/>
                <w:numId w:val="3"/>
              </w:numPr>
              <w:spacing w:before="40" w:after="40"/>
              <w:rPr>
                <w:rFonts w:eastAsia="Times New Roman" w:cstheme="minorHAnsi"/>
                <w:b w:val="0"/>
                <w:i w:val="0"/>
                <w:sz w:val="22"/>
                <w:szCs w:val="22"/>
                <w:lang w:eastAsia="en-AU"/>
              </w:rPr>
            </w:pPr>
            <w:proofErr w:type="gramStart"/>
            <w:r w:rsidRPr="00585B86">
              <w:rPr>
                <w:rFonts w:eastAsia="Times New Roman" w:cstheme="minorHAnsi"/>
                <w:b w:val="0"/>
                <w:i w:val="0"/>
                <w:sz w:val="22"/>
                <w:szCs w:val="22"/>
                <w:lang w:eastAsia="en-AU"/>
              </w:rPr>
              <w:t>be</w:t>
            </w:r>
            <w:proofErr w:type="gramEnd"/>
            <w:r w:rsidRPr="00585B86">
              <w:rPr>
                <w:rFonts w:eastAsia="Times New Roman" w:cstheme="minorHAnsi"/>
                <w:b w:val="0"/>
                <w:i w:val="0"/>
                <w:sz w:val="22"/>
                <w:szCs w:val="22"/>
                <w:lang w:eastAsia="en-AU"/>
              </w:rPr>
              <w:t xml:space="preserve"> lodged with, or sent by post to the Commissioner.</w:t>
            </w:r>
          </w:p>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A person is only entitled to make a complaint within one year of the alleged contravention of the Act</w:t>
            </w:r>
            <w:r w:rsidR="0098206F" w:rsidRPr="00585B86">
              <w:rPr>
                <w:rFonts w:eastAsia="Times New Roman" w:cstheme="minorHAnsi"/>
                <w:b w:val="0"/>
                <w:i w:val="0"/>
                <w:sz w:val="22"/>
                <w:szCs w:val="22"/>
                <w:lang w:eastAsia="en-AU"/>
              </w:rPr>
              <w:t>.</w:t>
            </w:r>
          </w:p>
        </w:tc>
      </w:tr>
      <w:tr w:rsidR="008F545E"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conciliation</w:t>
            </w:r>
          </w:p>
        </w:tc>
        <w:tc>
          <w:tcPr>
            <w:cnfStyle w:val="000100000000" w:firstRow="0" w:lastRow="0" w:firstColumn="0" w:lastColumn="1"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 xml:space="preserve">A conciliation conference is a meeting to help parties resolve a complaint. It is the main way in which complaints are resolved. A conciliator from the ADCQ contacts the parties and manages the conciliation conference. Complaints that cannot be resolved through the conciliation process may be referred to the Queensland Civil and Administrative Tribunal for a public hearing to decide whether there has been a breach of the </w:t>
            </w:r>
            <w:r w:rsidRPr="00585B86">
              <w:rPr>
                <w:rFonts w:eastAsia="Times New Roman" w:cstheme="minorHAnsi"/>
                <w:b w:val="0"/>
                <w:sz w:val="22"/>
                <w:szCs w:val="22"/>
                <w:lang w:eastAsia="en-AU"/>
              </w:rPr>
              <w:t>Anti-Discrimination Act 1991</w:t>
            </w:r>
            <w:r w:rsidRPr="00585B86">
              <w:rPr>
                <w:rFonts w:eastAsia="Times New Roman" w:cstheme="minorHAnsi"/>
                <w:b w:val="0"/>
                <w:i w:val="0"/>
                <w:sz w:val="22"/>
                <w:szCs w:val="22"/>
                <w:lang w:eastAsia="en-AU"/>
              </w:rPr>
              <w:t xml:space="preserve">, and decide any compensation. </w:t>
            </w:r>
          </w:p>
        </w:tc>
      </w:tr>
      <w:tr w:rsidR="004475B5" w:rsidRPr="00585B86" w:rsidTr="00585B86">
        <w:tc>
          <w:tcPr>
            <w:cnfStyle w:val="001000000000" w:firstRow="0" w:lastRow="0" w:firstColumn="1" w:lastColumn="0" w:oddVBand="0" w:evenVBand="0" w:oddHBand="0" w:evenHBand="0" w:firstRowFirstColumn="0" w:firstRowLastColumn="0" w:lastRowFirstColumn="0" w:lastRowLastColumn="0"/>
            <w:tcW w:w="0" w:type="auto"/>
          </w:tcPr>
          <w:p w:rsidR="004475B5" w:rsidRPr="00585B86" w:rsidRDefault="004475B5"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Commission</w:t>
            </w:r>
          </w:p>
        </w:tc>
        <w:tc>
          <w:tcPr>
            <w:cnfStyle w:val="000100000000" w:firstRow="0" w:lastRow="0" w:firstColumn="0" w:lastColumn="1" w:oddVBand="0" w:evenVBand="0" w:oddHBand="0" w:evenHBand="0" w:firstRowFirstColumn="0" w:firstRowLastColumn="0" w:lastRowFirstColumn="0" w:lastRowLastColumn="0"/>
            <w:tcW w:w="0" w:type="auto"/>
          </w:tcPr>
          <w:p w:rsidR="004475B5" w:rsidRPr="00585B86" w:rsidRDefault="004475B5"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Anti-Discrimination Commission Queensland</w:t>
            </w:r>
          </w:p>
        </w:tc>
      </w:tr>
      <w:tr w:rsidR="008F545E"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direct discrimination</w:t>
            </w:r>
            <w:r w:rsidRPr="00585B86" w:rsidDel="006E0CA9">
              <w:rPr>
                <w:rFonts w:eastAsia="Times New Roman" w:cstheme="minorHAnsi"/>
                <w:b w:val="0"/>
                <w:i w:val="0"/>
                <w:sz w:val="22"/>
                <w:szCs w:val="22"/>
                <w:lang w:eastAsia="en-AU"/>
              </w:rPr>
              <w:t xml:space="preserve"> </w:t>
            </w:r>
          </w:p>
        </w:tc>
        <w:tc>
          <w:tcPr>
            <w:cnfStyle w:val="000100000000" w:firstRow="0" w:lastRow="0" w:firstColumn="0" w:lastColumn="1"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Direct discrimination on the basis of an attribute happens if a person treats, or proposes to treat, a person with an attribute less favourably than another person without the attribute is or would be treated in circumstances that are the same or not materially different.</w:t>
            </w:r>
          </w:p>
        </w:tc>
      </w:tr>
      <w:tr w:rsidR="008F545E" w:rsidRPr="00585B86" w:rsidTr="00585B86">
        <w:tc>
          <w:tcPr>
            <w:cnfStyle w:val="001000000000" w:firstRow="0" w:lastRow="0" w:firstColumn="1" w:lastColumn="0"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Executive Leadership Team</w:t>
            </w:r>
          </w:p>
        </w:tc>
        <w:tc>
          <w:tcPr>
            <w:cnfStyle w:val="000100000000" w:firstRow="0" w:lastRow="0" w:firstColumn="0" w:lastColumn="1"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The Executive Leadership Team is one of the key strategic advisory bodies of the ADCQ. It supports the Commissioner in providing the strategic direction as part of the overall corporate governance framework and oversees the Commission’s strategic performance.</w:t>
            </w:r>
          </w:p>
        </w:tc>
      </w:tr>
      <w:tr w:rsidR="008F545E"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indirect discrimination</w:t>
            </w:r>
          </w:p>
        </w:tc>
        <w:tc>
          <w:tcPr>
            <w:cnfStyle w:val="000100000000" w:firstRow="0" w:lastRow="0" w:firstColumn="0" w:lastColumn="1"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Indirect discrimination on the basis of an attribute happens if a person imposes, or proposes to impose, a term with which a person with an attribute does not or is not able to comply; and with which a higher proportion of people without the attribute comply or are able to comply; and that is not reasonable.</w:t>
            </w:r>
          </w:p>
        </w:tc>
      </w:tr>
      <w:tr w:rsidR="008F545E" w:rsidRPr="00585B86" w:rsidTr="00585B86">
        <w:tc>
          <w:tcPr>
            <w:cnfStyle w:val="001000000000" w:firstRow="0" w:lastRow="0" w:firstColumn="1" w:lastColumn="0"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Leadership Group</w:t>
            </w:r>
          </w:p>
        </w:tc>
        <w:tc>
          <w:tcPr>
            <w:cnfStyle w:val="000100000000" w:firstRow="0" w:lastRow="0" w:firstColumn="0" w:lastColumn="1"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The Leadership Group is a sub-committee of the Executive Leadership Team (ELT). It supports the Commissioner by ensuring that operational activity aligns with the strategic direction of the ADCQ as set by the ELT.</w:t>
            </w:r>
          </w:p>
        </w:tc>
      </w:tr>
      <w:tr w:rsidR="008F545E"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QCAT</w:t>
            </w:r>
          </w:p>
        </w:tc>
        <w:tc>
          <w:tcPr>
            <w:cnfStyle w:val="000100000000" w:firstRow="0" w:lastRow="0" w:firstColumn="0" w:lastColumn="1" w:oddVBand="0" w:evenVBand="0" w:oddHBand="0" w:evenHBand="0" w:firstRowFirstColumn="0" w:firstRowLastColumn="0" w:lastRowFirstColumn="0" w:lastRowLastColumn="0"/>
            <w:tcW w:w="7975" w:type="dxa"/>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Queensland Civil and Administrative Tribunal</w:t>
            </w:r>
          </w:p>
        </w:tc>
      </w:tr>
      <w:tr w:rsidR="008F545E" w:rsidRPr="00585B86" w:rsidTr="00585B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vicarious liability</w:t>
            </w:r>
          </w:p>
        </w:tc>
        <w:tc>
          <w:tcPr>
            <w:cnfStyle w:val="000100000000" w:firstRow="0" w:lastRow="0" w:firstColumn="0" w:lastColumn="1" w:oddVBand="0" w:evenVBand="0" w:oddHBand="0" w:evenHBand="0" w:firstRowFirstColumn="0" w:firstRowLastColumn="0" w:lastRowFirstColumn="0" w:lastRowLastColumn="0"/>
            <w:tcW w:w="0" w:type="auto"/>
          </w:tcPr>
          <w:p w:rsidR="008F545E" w:rsidRPr="00585B86" w:rsidRDefault="008F545E"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If a person’s workers or agents contravene the Act in the course of work or while acting as agent, both the person and the worker or agent, are jointly and severally civilly liable for the contravention, and a proceeding under the Act may be taken against either or both. It is a defence to a proceeding for a contravention of the Act if the respondent proves, on the balance of probabilities, that the respondent took reasonable steps to prevent the worker or agent contravening the Act.</w:t>
            </w:r>
          </w:p>
        </w:tc>
      </w:tr>
    </w:tbl>
    <w:p w:rsidR="008F545E" w:rsidRPr="00585B86" w:rsidRDefault="008F545E" w:rsidP="00D27A67">
      <w:pPr>
        <w:pStyle w:val="Heading1"/>
        <w:pageBreakBefore/>
        <w:rPr>
          <w:rFonts w:asciiTheme="minorHAnsi" w:eastAsia="Times New Roman" w:hAnsiTheme="minorHAnsi" w:cstheme="minorHAnsi"/>
          <w:b w:val="0"/>
          <w:i w:val="0"/>
          <w:color w:val="auto"/>
          <w:spacing w:val="22"/>
          <w:lang w:eastAsia="en-AU"/>
        </w:rPr>
      </w:pPr>
      <w:bookmarkStart w:id="85" w:name="_Toc243284344"/>
      <w:bookmarkStart w:id="86" w:name="_Toc366487310"/>
      <w:bookmarkStart w:id="87" w:name="_Toc397345688"/>
      <w:bookmarkStart w:id="88" w:name="_Ref227638909"/>
      <w:bookmarkStart w:id="89" w:name="_Ref227658228"/>
      <w:bookmarkStart w:id="90" w:name="_Toc240787716"/>
      <w:bookmarkStart w:id="91" w:name="_Toc242069895"/>
      <w:r w:rsidRPr="00585B86">
        <w:rPr>
          <w:rFonts w:asciiTheme="minorHAnsi" w:eastAsia="Times New Roman" w:hAnsiTheme="minorHAnsi" w:cstheme="minorHAnsi"/>
          <w:b w:val="0"/>
          <w:i w:val="0"/>
          <w:color w:val="auto"/>
          <w:spacing w:val="22"/>
          <w:lang w:eastAsia="en-AU"/>
        </w:rPr>
        <w:lastRenderedPageBreak/>
        <w:t>Appendix</w:t>
      </w:r>
      <w:r w:rsidR="002D29F9" w:rsidRPr="00585B86">
        <w:rPr>
          <w:rFonts w:asciiTheme="minorHAnsi" w:eastAsia="Times New Roman" w:hAnsiTheme="minorHAnsi" w:cstheme="minorHAnsi"/>
          <w:b w:val="0"/>
          <w:i w:val="0"/>
          <w:color w:val="auto"/>
          <w:spacing w:val="22"/>
          <w:lang w:eastAsia="en-AU"/>
        </w:rPr>
        <w:t xml:space="preserve"> </w:t>
      </w:r>
      <w:r w:rsidRPr="00585B86">
        <w:rPr>
          <w:rFonts w:asciiTheme="minorHAnsi" w:eastAsia="Times New Roman" w:hAnsiTheme="minorHAnsi" w:cstheme="minorHAnsi"/>
          <w:b w:val="0"/>
          <w:i w:val="0"/>
          <w:color w:val="auto"/>
          <w:spacing w:val="22"/>
          <w:lang w:eastAsia="en-AU"/>
        </w:rPr>
        <w:t>B</w:t>
      </w:r>
      <w:r w:rsidR="0098206F" w:rsidRPr="00585B86">
        <w:rPr>
          <w:rFonts w:asciiTheme="minorHAnsi" w:eastAsia="Times New Roman" w:hAnsiTheme="minorHAnsi" w:cstheme="minorHAnsi"/>
          <w:b w:val="0"/>
          <w:i w:val="0"/>
          <w:color w:val="auto"/>
          <w:spacing w:val="22"/>
          <w:lang w:eastAsia="en-AU"/>
        </w:rPr>
        <w:t xml:space="preserve">: </w:t>
      </w:r>
      <w:r w:rsidRPr="00585B86">
        <w:rPr>
          <w:rFonts w:asciiTheme="minorHAnsi" w:eastAsia="Times New Roman" w:hAnsiTheme="minorHAnsi" w:cstheme="minorHAnsi"/>
          <w:b w:val="0"/>
          <w:i w:val="0"/>
          <w:color w:val="auto"/>
          <w:spacing w:val="22"/>
          <w:lang w:eastAsia="en-AU"/>
        </w:rPr>
        <w:t>Compliance checklist</w:t>
      </w:r>
      <w:bookmarkEnd w:id="85"/>
      <w:bookmarkEnd w:id="86"/>
      <w:bookmarkEnd w:id="87"/>
      <w:r w:rsidRPr="00585B86">
        <w:rPr>
          <w:rFonts w:asciiTheme="minorHAnsi" w:eastAsia="Times New Roman" w:hAnsiTheme="minorHAnsi" w:cstheme="minorHAnsi"/>
          <w:b w:val="0"/>
          <w:i w:val="0"/>
          <w:color w:val="auto"/>
          <w:spacing w:val="22"/>
          <w:lang w:eastAsia="en-AU"/>
        </w:rPr>
        <w:t xml:space="preserve"> </w:t>
      </w:r>
      <w:bookmarkEnd w:id="88"/>
      <w:bookmarkEnd w:id="89"/>
      <w:bookmarkEnd w:id="90"/>
      <w:bookmarkEnd w:id="91"/>
    </w:p>
    <w:tbl>
      <w:tblPr>
        <w:tblStyle w:val="LightList-Accent5"/>
        <w:tblW w:w="10078" w:type="dxa"/>
        <w:tblLayout w:type="fixed"/>
        <w:tblLook w:val="01E0" w:firstRow="1" w:lastRow="1" w:firstColumn="1" w:lastColumn="1" w:noHBand="0" w:noVBand="0"/>
        <w:tblDescription w:val="Compliance checklist"/>
      </w:tblPr>
      <w:tblGrid>
        <w:gridCol w:w="2051"/>
        <w:gridCol w:w="3963"/>
        <w:gridCol w:w="2509"/>
        <w:gridCol w:w="1555"/>
      </w:tblGrid>
      <w:tr w:rsidR="003640E9" w:rsidRPr="00585B86" w:rsidTr="00585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9" w:type="dxa"/>
            <w:gridSpan w:val="2"/>
          </w:tcPr>
          <w:p w:rsidR="003640E9" w:rsidRPr="00585B86" w:rsidRDefault="003640E9" w:rsidP="00CC5A8E">
            <w:pPr>
              <w:spacing w:before="40" w:after="40"/>
              <w:rPr>
                <w:rFonts w:eastAsia="Times New Roman" w:cstheme="minorHAnsi"/>
                <w:b w:val="0"/>
                <w:i w:val="0"/>
                <w:sz w:val="22"/>
                <w:szCs w:val="22"/>
                <w:lang w:eastAsia="en-AU"/>
              </w:rPr>
            </w:pPr>
            <w:r w:rsidRPr="00585B86">
              <w:rPr>
                <w:rFonts w:eastAsia="Times New Roman" w:cstheme="minorHAnsi"/>
                <w:b w:val="0"/>
                <w:i w:val="0"/>
                <w:sz w:val="22"/>
                <w:szCs w:val="22"/>
                <w:lang w:eastAsia="en-AU"/>
              </w:rPr>
              <w:t>Summary of requirement</w:t>
            </w:r>
          </w:p>
        </w:tc>
        <w:tc>
          <w:tcPr>
            <w:cnfStyle w:val="000010000000" w:firstRow="0" w:lastRow="0" w:firstColumn="0" w:lastColumn="0" w:oddVBand="1" w:evenVBand="0" w:oddHBand="0" w:evenHBand="0" w:firstRowFirstColumn="0" w:firstRowLastColumn="0" w:lastRowFirstColumn="0" w:lastRowLastColumn="0"/>
            <w:tcW w:w="2469" w:type="dxa"/>
          </w:tcPr>
          <w:p w:rsidR="003640E9" w:rsidRPr="00585B86" w:rsidRDefault="003640E9"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Basis for requirement</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85B86" w:rsidRDefault="003640E9"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Annual report reference</w:t>
            </w:r>
          </w:p>
        </w:tc>
      </w:tr>
      <w:tr w:rsidR="00E062EB"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rsidR="00E062EB" w:rsidRPr="00585B86" w:rsidRDefault="00E062EB" w:rsidP="00CC5A8E">
            <w:pPr>
              <w:spacing w:before="40" w:after="40"/>
              <w:rPr>
                <w:rFonts w:eastAsia="Times New Roman" w:cstheme="minorHAnsi"/>
                <w:b w:val="0"/>
                <w:bCs w:val="0"/>
                <w:i w:val="0"/>
                <w:sz w:val="22"/>
                <w:szCs w:val="22"/>
                <w:lang w:eastAsia="en-AU"/>
              </w:rPr>
            </w:pPr>
            <w:r w:rsidRPr="00585B86">
              <w:rPr>
                <w:rFonts w:eastAsia="Times New Roman" w:cstheme="minorHAnsi"/>
                <w:b w:val="0"/>
                <w:bCs w:val="0"/>
                <w:i w:val="0"/>
                <w:sz w:val="22"/>
                <w:szCs w:val="22"/>
                <w:lang w:eastAsia="en-AU"/>
              </w:rPr>
              <w:t>Letter of compliance</w:t>
            </w:r>
          </w:p>
        </w:tc>
        <w:tc>
          <w:tcPr>
            <w:cnfStyle w:val="000010000000" w:firstRow="0" w:lastRow="0" w:firstColumn="0" w:lastColumn="0" w:oddVBand="1" w:evenVBand="0" w:oddHBand="0" w:evenHBand="0" w:firstRowFirstColumn="0" w:firstRowLastColumn="0" w:lastRowFirstColumn="0" w:lastRowLastColumn="0"/>
            <w:tcW w:w="3860" w:type="dxa"/>
          </w:tcPr>
          <w:p w:rsidR="00E062EB" w:rsidRPr="00585B86" w:rsidRDefault="00E062EB"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A letter of compliance from the accountable officer or statutory body to the relevant Minister</w:t>
            </w:r>
          </w:p>
        </w:tc>
        <w:tc>
          <w:tcPr>
            <w:tcW w:w="2469" w:type="dxa"/>
          </w:tcPr>
          <w:p w:rsidR="00E062EB" w:rsidRPr="00585B86" w:rsidRDefault="00E062EB"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585B86">
              <w:rPr>
                <w:rFonts w:eastAsia="Times New Roman" w:cstheme="minorHAnsi"/>
                <w:i w:val="0"/>
                <w:sz w:val="22"/>
                <w:szCs w:val="22"/>
                <w:lang w:eastAsia="en-AU"/>
              </w:rPr>
              <w:t>ARRs – section 8</w:t>
            </w:r>
          </w:p>
        </w:tc>
        <w:tc>
          <w:tcPr>
            <w:cnfStyle w:val="000100000000" w:firstRow="0" w:lastRow="0" w:firstColumn="0" w:lastColumn="1" w:oddVBand="0" w:evenVBand="0" w:oddHBand="0" w:evenHBand="0" w:firstRowFirstColumn="0" w:firstRowLastColumn="0" w:lastRowFirstColumn="0" w:lastRowLastColumn="0"/>
            <w:tcW w:w="1530" w:type="dxa"/>
          </w:tcPr>
          <w:p w:rsidR="00E062EB" w:rsidRPr="00585B86" w:rsidRDefault="00D55F0C" w:rsidP="00D807D1">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 xml:space="preserve">Page </w:t>
            </w:r>
            <w:r w:rsidR="00522EE6" w:rsidRPr="00585B86">
              <w:rPr>
                <w:rFonts w:eastAsia="Times New Roman" w:cstheme="minorHAnsi"/>
                <w:b w:val="0"/>
                <w:i w:val="0"/>
                <w:sz w:val="22"/>
                <w:szCs w:val="22"/>
                <w:lang w:eastAsia="en-AU"/>
              </w:rPr>
              <w:t>3</w:t>
            </w:r>
          </w:p>
        </w:tc>
      </w:tr>
      <w:tr w:rsidR="003640E9" w:rsidRPr="00585B86" w:rsidTr="00585B86">
        <w:tc>
          <w:tcPr>
            <w:cnfStyle w:val="001000000000" w:firstRow="0" w:lastRow="0" w:firstColumn="1" w:lastColumn="0" w:oddVBand="0" w:evenVBand="0" w:oddHBand="0" w:evenHBand="0" w:firstRowFirstColumn="0" w:firstRowLastColumn="0" w:lastRowFirstColumn="0" w:lastRowLastColumn="0"/>
            <w:tcW w:w="2019" w:type="dxa"/>
            <w:vMerge w:val="restart"/>
          </w:tcPr>
          <w:p w:rsidR="003640E9" w:rsidRPr="00585B86" w:rsidRDefault="003640E9" w:rsidP="00CC5A8E">
            <w:pPr>
              <w:spacing w:before="40" w:after="40"/>
              <w:rPr>
                <w:rFonts w:eastAsia="Times New Roman" w:cstheme="minorHAnsi"/>
                <w:b w:val="0"/>
                <w:bCs w:val="0"/>
                <w:i w:val="0"/>
                <w:sz w:val="22"/>
                <w:szCs w:val="22"/>
                <w:lang w:eastAsia="en-AU"/>
              </w:rPr>
            </w:pPr>
            <w:r w:rsidRPr="00585B86">
              <w:rPr>
                <w:rFonts w:eastAsia="Times New Roman" w:cstheme="minorHAnsi"/>
                <w:b w:val="0"/>
                <w:bCs w:val="0"/>
                <w:i w:val="0"/>
                <w:sz w:val="22"/>
                <w:szCs w:val="22"/>
                <w:lang w:eastAsia="en-AU"/>
              </w:rPr>
              <w:t>Accessibility</w:t>
            </w:r>
          </w:p>
        </w:tc>
        <w:tc>
          <w:tcPr>
            <w:cnfStyle w:val="000010000000" w:firstRow="0" w:lastRow="0" w:firstColumn="0" w:lastColumn="0" w:oddVBand="1" w:evenVBand="0" w:oddHBand="0" w:evenHBand="0" w:firstRowFirstColumn="0" w:firstRowLastColumn="0" w:lastRowFirstColumn="0" w:lastRowLastColumn="0"/>
            <w:tcW w:w="3860" w:type="dxa"/>
          </w:tcPr>
          <w:p w:rsidR="003640E9" w:rsidRPr="00585B86" w:rsidRDefault="003640E9"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Table of contents</w:t>
            </w:r>
          </w:p>
          <w:p w:rsidR="003640E9" w:rsidRPr="00585B86" w:rsidRDefault="003640E9"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Glossary</w:t>
            </w:r>
          </w:p>
        </w:tc>
        <w:tc>
          <w:tcPr>
            <w:tcW w:w="2469" w:type="dxa"/>
          </w:tcPr>
          <w:p w:rsidR="003640E9" w:rsidRPr="00585B86" w:rsidRDefault="003640E9"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585B86">
              <w:rPr>
                <w:rFonts w:eastAsia="Times New Roman" w:cstheme="minorHAnsi"/>
                <w:i w:val="0"/>
                <w:sz w:val="22"/>
                <w:szCs w:val="22"/>
                <w:lang w:eastAsia="en-AU"/>
              </w:rPr>
              <w:t xml:space="preserve">ARRs – section </w:t>
            </w:r>
            <w:r w:rsidR="00B32DB1" w:rsidRPr="00585B86">
              <w:rPr>
                <w:rFonts w:eastAsia="Times New Roman" w:cstheme="minorHAnsi"/>
                <w:i w:val="0"/>
                <w:sz w:val="22"/>
                <w:szCs w:val="22"/>
                <w:lang w:eastAsia="en-AU"/>
              </w:rPr>
              <w:t>10</w:t>
            </w:r>
            <w:r w:rsidRPr="00585B86">
              <w:rPr>
                <w:rFonts w:eastAsia="Times New Roman" w:cstheme="minorHAnsi"/>
                <w:i w:val="0"/>
                <w:sz w:val="22"/>
                <w:szCs w:val="22"/>
                <w:lang w:eastAsia="en-AU"/>
              </w:rPr>
              <w:t>.1</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Page 2</w:t>
            </w:r>
          </w:p>
          <w:p w:rsidR="00D55F0C"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Appendix A</w:t>
            </w:r>
          </w:p>
        </w:tc>
      </w:tr>
      <w:tr w:rsidR="003640E9"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tcPr>
          <w:p w:rsidR="003640E9" w:rsidRPr="00585B86" w:rsidRDefault="003640E9" w:rsidP="00CC5A8E">
            <w:pPr>
              <w:spacing w:before="40" w:after="40"/>
              <w:rPr>
                <w:rFonts w:eastAsia="Times New Roman" w:cstheme="minorHAnsi"/>
                <w:b w:val="0"/>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585B86" w:rsidRDefault="003640E9"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Public availability</w:t>
            </w:r>
          </w:p>
        </w:tc>
        <w:tc>
          <w:tcPr>
            <w:tcW w:w="2469" w:type="dxa"/>
          </w:tcPr>
          <w:p w:rsidR="003640E9" w:rsidRPr="00585B86" w:rsidRDefault="003640E9"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585B86">
              <w:rPr>
                <w:rFonts w:eastAsia="Times New Roman" w:cstheme="minorHAnsi"/>
                <w:i w:val="0"/>
                <w:sz w:val="22"/>
                <w:szCs w:val="22"/>
                <w:lang w:eastAsia="en-AU"/>
              </w:rPr>
              <w:t xml:space="preserve">ARRs – section </w:t>
            </w:r>
            <w:r w:rsidR="00B32DB1" w:rsidRPr="00585B86">
              <w:rPr>
                <w:rFonts w:eastAsia="Times New Roman" w:cstheme="minorHAnsi"/>
                <w:i w:val="0"/>
                <w:sz w:val="22"/>
                <w:szCs w:val="22"/>
                <w:lang w:eastAsia="en-AU"/>
              </w:rPr>
              <w:t>10</w:t>
            </w:r>
            <w:r w:rsidRPr="00585B86">
              <w:rPr>
                <w:rFonts w:eastAsia="Times New Roman" w:cstheme="minorHAnsi"/>
                <w:i w:val="0"/>
                <w:sz w:val="22"/>
                <w:szCs w:val="22"/>
                <w:lang w:eastAsia="en-AU"/>
              </w:rPr>
              <w:t>.2</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Inside cover</w:t>
            </w:r>
          </w:p>
        </w:tc>
      </w:tr>
      <w:tr w:rsidR="003640E9" w:rsidRPr="00585B86" w:rsidTr="00585B86">
        <w:tc>
          <w:tcPr>
            <w:cnfStyle w:val="001000000000" w:firstRow="0" w:lastRow="0" w:firstColumn="1" w:lastColumn="0" w:oddVBand="0" w:evenVBand="0" w:oddHBand="0" w:evenHBand="0" w:firstRowFirstColumn="0" w:firstRowLastColumn="0" w:lastRowFirstColumn="0" w:lastRowLastColumn="0"/>
            <w:tcW w:w="2019" w:type="dxa"/>
            <w:vMerge/>
          </w:tcPr>
          <w:p w:rsidR="003640E9" w:rsidRPr="00585B86" w:rsidRDefault="003640E9" w:rsidP="00CC5A8E">
            <w:pPr>
              <w:spacing w:before="40" w:after="40"/>
              <w:rPr>
                <w:rFonts w:eastAsia="Times New Roman" w:cstheme="minorHAnsi"/>
                <w:b w:val="0"/>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585B86" w:rsidRDefault="003640E9"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Interpreter service statement</w:t>
            </w:r>
          </w:p>
        </w:tc>
        <w:tc>
          <w:tcPr>
            <w:tcW w:w="2469" w:type="dxa"/>
          </w:tcPr>
          <w:p w:rsidR="003640E9" w:rsidRPr="00585B86" w:rsidRDefault="003640E9"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AU"/>
              </w:rPr>
            </w:pPr>
            <w:r w:rsidRPr="00585B86">
              <w:rPr>
                <w:rFonts w:eastAsia="Times New Roman" w:cstheme="minorHAnsi"/>
                <w:sz w:val="22"/>
                <w:szCs w:val="22"/>
                <w:lang w:eastAsia="en-AU"/>
              </w:rPr>
              <w:t>Queensland Government Language Services Policy</w:t>
            </w:r>
          </w:p>
          <w:p w:rsidR="003640E9" w:rsidRPr="00585B86" w:rsidRDefault="00B32DB1"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585B86">
              <w:rPr>
                <w:rFonts w:eastAsia="Times New Roman" w:cstheme="minorHAnsi"/>
                <w:i w:val="0"/>
                <w:sz w:val="22"/>
                <w:szCs w:val="22"/>
                <w:lang w:eastAsia="en-AU"/>
              </w:rPr>
              <w:t>ARRs – section 10</w:t>
            </w:r>
            <w:r w:rsidR="003640E9" w:rsidRPr="00585B86">
              <w:rPr>
                <w:rFonts w:eastAsia="Times New Roman" w:cstheme="minorHAnsi"/>
                <w:i w:val="0"/>
                <w:sz w:val="22"/>
                <w:szCs w:val="22"/>
                <w:lang w:eastAsia="en-AU"/>
              </w:rPr>
              <w:t>.3</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Inside cover</w:t>
            </w:r>
          </w:p>
        </w:tc>
      </w:tr>
      <w:tr w:rsidR="003640E9"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tcPr>
          <w:p w:rsidR="003640E9" w:rsidRPr="00585B86" w:rsidRDefault="003640E9" w:rsidP="00CC5A8E">
            <w:pPr>
              <w:spacing w:before="40" w:after="40"/>
              <w:rPr>
                <w:rFonts w:eastAsia="Times New Roman" w:cstheme="minorHAnsi"/>
                <w:b w:val="0"/>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585B86" w:rsidRDefault="003640E9"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Copyright notice</w:t>
            </w:r>
          </w:p>
        </w:tc>
        <w:tc>
          <w:tcPr>
            <w:tcW w:w="2469" w:type="dxa"/>
          </w:tcPr>
          <w:p w:rsidR="003640E9" w:rsidRPr="00585B86" w:rsidRDefault="003640E9"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AU"/>
              </w:rPr>
            </w:pPr>
            <w:r w:rsidRPr="00585B86">
              <w:rPr>
                <w:rFonts w:eastAsia="Times New Roman" w:cstheme="minorHAnsi"/>
                <w:sz w:val="22"/>
                <w:szCs w:val="22"/>
                <w:lang w:eastAsia="en-AU"/>
              </w:rPr>
              <w:t>Copyright Act 1968</w:t>
            </w:r>
          </w:p>
          <w:p w:rsidR="003640E9" w:rsidRPr="00585B86" w:rsidRDefault="003640E9"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585B86">
              <w:rPr>
                <w:rFonts w:eastAsia="Times New Roman" w:cstheme="minorHAnsi"/>
                <w:i w:val="0"/>
                <w:sz w:val="22"/>
                <w:szCs w:val="22"/>
                <w:lang w:eastAsia="en-AU"/>
              </w:rPr>
              <w:t xml:space="preserve">ARRs – section </w:t>
            </w:r>
            <w:r w:rsidR="00B32DB1" w:rsidRPr="00585B86">
              <w:rPr>
                <w:rFonts w:eastAsia="Times New Roman" w:cstheme="minorHAnsi"/>
                <w:i w:val="0"/>
                <w:sz w:val="22"/>
                <w:szCs w:val="22"/>
                <w:lang w:eastAsia="en-AU"/>
              </w:rPr>
              <w:t>10</w:t>
            </w:r>
            <w:r w:rsidRPr="00585B86">
              <w:rPr>
                <w:rFonts w:eastAsia="Times New Roman" w:cstheme="minorHAnsi"/>
                <w:i w:val="0"/>
                <w:sz w:val="22"/>
                <w:szCs w:val="22"/>
                <w:lang w:eastAsia="en-AU"/>
              </w:rPr>
              <w:t>.4</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Inside cover</w:t>
            </w:r>
          </w:p>
        </w:tc>
      </w:tr>
      <w:tr w:rsidR="003640E9" w:rsidRPr="00585B86" w:rsidTr="00585B86">
        <w:tc>
          <w:tcPr>
            <w:cnfStyle w:val="001000000000" w:firstRow="0" w:lastRow="0" w:firstColumn="1" w:lastColumn="0" w:oddVBand="0" w:evenVBand="0" w:oddHBand="0" w:evenHBand="0" w:firstRowFirstColumn="0" w:firstRowLastColumn="0" w:lastRowFirstColumn="0" w:lastRowLastColumn="0"/>
            <w:tcW w:w="2019" w:type="dxa"/>
            <w:vMerge/>
          </w:tcPr>
          <w:p w:rsidR="003640E9" w:rsidRPr="00585B86" w:rsidRDefault="003640E9" w:rsidP="00CC5A8E">
            <w:pPr>
              <w:spacing w:before="40" w:after="40"/>
              <w:rPr>
                <w:rFonts w:eastAsia="Times New Roman" w:cstheme="minorHAnsi"/>
                <w:b w:val="0"/>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585B86" w:rsidRDefault="003640E9"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 xml:space="preserve">Information </w:t>
            </w:r>
            <w:r w:rsidR="00B32DB1" w:rsidRPr="00585B86">
              <w:rPr>
                <w:rFonts w:eastAsia="Times New Roman" w:cstheme="minorHAnsi"/>
                <w:i w:val="0"/>
                <w:sz w:val="22"/>
                <w:szCs w:val="22"/>
                <w:lang w:eastAsia="en-AU"/>
              </w:rPr>
              <w:t>l</w:t>
            </w:r>
            <w:r w:rsidRPr="00585B86">
              <w:rPr>
                <w:rFonts w:eastAsia="Times New Roman" w:cstheme="minorHAnsi"/>
                <w:i w:val="0"/>
                <w:sz w:val="22"/>
                <w:szCs w:val="22"/>
                <w:lang w:eastAsia="en-AU"/>
              </w:rPr>
              <w:t xml:space="preserve">icensing </w:t>
            </w:r>
          </w:p>
        </w:tc>
        <w:tc>
          <w:tcPr>
            <w:tcW w:w="2469" w:type="dxa"/>
          </w:tcPr>
          <w:p w:rsidR="003640E9" w:rsidRPr="00585B86" w:rsidRDefault="00216388"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AU"/>
              </w:rPr>
            </w:pPr>
            <w:r w:rsidRPr="00585B86">
              <w:rPr>
                <w:rFonts w:eastAsia="Times New Roman" w:cstheme="minorHAnsi"/>
                <w:sz w:val="22"/>
                <w:szCs w:val="22"/>
                <w:lang w:eastAsia="en-AU"/>
              </w:rPr>
              <w:t>QGEA -  Information L</w:t>
            </w:r>
            <w:r w:rsidR="00B32DB1" w:rsidRPr="00585B86">
              <w:rPr>
                <w:rFonts w:eastAsia="Times New Roman" w:cstheme="minorHAnsi"/>
                <w:sz w:val="22"/>
                <w:szCs w:val="22"/>
                <w:lang w:eastAsia="en-AU"/>
              </w:rPr>
              <w:t xml:space="preserve">icensing </w:t>
            </w:r>
          </w:p>
          <w:p w:rsidR="003640E9" w:rsidRPr="00585B86" w:rsidRDefault="00B32DB1"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585B86">
              <w:rPr>
                <w:rFonts w:eastAsia="Times New Roman" w:cstheme="minorHAnsi"/>
                <w:i w:val="0"/>
                <w:sz w:val="22"/>
                <w:szCs w:val="22"/>
                <w:lang w:eastAsia="en-AU"/>
              </w:rPr>
              <w:t>ARRs – section 10</w:t>
            </w:r>
            <w:r w:rsidR="003640E9" w:rsidRPr="00585B86">
              <w:rPr>
                <w:rFonts w:eastAsia="Times New Roman" w:cstheme="minorHAnsi"/>
                <w:i w:val="0"/>
                <w:sz w:val="22"/>
                <w:szCs w:val="22"/>
                <w:lang w:eastAsia="en-AU"/>
              </w:rPr>
              <w:t>.5</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Inside cover</w:t>
            </w:r>
          </w:p>
        </w:tc>
      </w:tr>
      <w:tr w:rsidR="00E062EB"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val="restart"/>
          </w:tcPr>
          <w:p w:rsidR="00E062EB" w:rsidRPr="00585B86" w:rsidRDefault="00E062EB" w:rsidP="00CC5A8E">
            <w:pPr>
              <w:spacing w:before="40" w:after="40"/>
              <w:rPr>
                <w:rFonts w:eastAsia="Times New Roman" w:cstheme="minorHAnsi"/>
                <w:b w:val="0"/>
                <w:bCs w:val="0"/>
                <w:i w:val="0"/>
                <w:sz w:val="22"/>
                <w:szCs w:val="22"/>
                <w:lang w:eastAsia="en-AU"/>
              </w:rPr>
            </w:pPr>
            <w:r w:rsidRPr="00585B86">
              <w:rPr>
                <w:rFonts w:eastAsia="Times New Roman" w:cstheme="minorHAnsi"/>
                <w:b w:val="0"/>
                <w:bCs w:val="0"/>
                <w:i w:val="0"/>
                <w:sz w:val="22"/>
                <w:szCs w:val="22"/>
                <w:lang w:eastAsia="en-AU"/>
              </w:rPr>
              <w:t>General information</w:t>
            </w:r>
          </w:p>
        </w:tc>
        <w:tc>
          <w:tcPr>
            <w:cnfStyle w:val="000010000000" w:firstRow="0" w:lastRow="0" w:firstColumn="0" w:lastColumn="0" w:oddVBand="1" w:evenVBand="0" w:oddHBand="0" w:evenHBand="0" w:firstRowFirstColumn="0" w:firstRowLastColumn="0" w:lastRowFirstColumn="0" w:lastRowLastColumn="0"/>
            <w:tcW w:w="3860" w:type="dxa"/>
          </w:tcPr>
          <w:p w:rsidR="00E062EB" w:rsidRPr="00585B86" w:rsidRDefault="00E062EB" w:rsidP="00A837E5">
            <w:pPr>
              <w:numPr>
                <w:ilvl w:val="0"/>
                <w:numId w:val="6"/>
              </w:numPr>
              <w:tabs>
                <w:tab w:val="num" w:pos="252"/>
              </w:tabs>
              <w:spacing w:before="40" w:after="40"/>
              <w:ind w:left="249" w:hanging="249"/>
              <w:rPr>
                <w:rFonts w:eastAsia="Times New Roman" w:cstheme="minorHAnsi"/>
                <w:i w:val="0"/>
                <w:sz w:val="22"/>
                <w:szCs w:val="22"/>
                <w:lang w:eastAsia="en-AU"/>
              </w:rPr>
            </w:pPr>
            <w:r w:rsidRPr="00585B86">
              <w:rPr>
                <w:rFonts w:eastAsia="Times New Roman" w:cstheme="minorHAnsi"/>
                <w:i w:val="0"/>
                <w:sz w:val="22"/>
                <w:szCs w:val="22"/>
                <w:lang w:eastAsia="en-AU"/>
              </w:rPr>
              <w:t>Introductory Information</w:t>
            </w:r>
          </w:p>
        </w:tc>
        <w:tc>
          <w:tcPr>
            <w:tcW w:w="2469" w:type="dxa"/>
          </w:tcPr>
          <w:p w:rsidR="00E062EB" w:rsidRPr="00585B86" w:rsidRDefault="00E062EB"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585B86">
              <w:rPr>
                <w:rFonts w:eastAsia="Times New Roman" w:cstheme="minorHAnsi"/>
                <w:i w:val="0"/>
                <w:sz w:val="22"/>
                <w:szCs w:val="22"/>
                <w:lang w:eastAsia="en-AU"/>
              </w:rPr>
              <w:t>ARRs – section 11.1</w:t>
            </w:r>
          </w:p>
        </w:tc>
        <w:tc>
          <w:tcPr>
            <w:cnfStyle w:val="000100000000" w:firstRow="0" w:lastRow="0" w:firstColumn="0" w:lastColumn="1" w:oddVBand="0" w:evenVBand="0" w:oddHBand="0" w:evenHBand="0" w:firstRowFirstColumn="0" w:firstRowLastColumn="0" w:lastRowFirstColumn="0" w:lastRowLastColumn="0"/>
            <w:tcW w:w="1530" w:type="dxa"/>
          </w:tcPr>
          <w:p w:rsidR="00E062EB"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Page 6</w:t>
            </w:r>
          </w:p>
        </w:tc>
      </w:tr>
      <w:tr w:rsidR="00E062EB" w:rsidRPr="00585B86" w:rsidTr="00585B86">
        <w:tc>
          <w:tcPr>
            <w:cnfStyle w:val="001000000000" w:firstRow="0" w:lastRow="0" w:firstColumn="1" w:lastColumn="0" w:oddVBand="0" w:evenVBand="0" w:oddHBand="0" w:evenHBand="0" w:firstRowFirstColumn="0" w:firstRowLastColumn="0" w:lastRowFirstColumn="0" w:lastRowLastColumn="0"/>
            <w:tcW w:w="2019" w:type="dxa"/>
            <w:vMerge/>
          </w:tcPr>
          <w:p w:rsidR="00E062EB" w:rsidRPr="00585B86" w:rsidRDefault="00E062EB" w:rsidP="00CC5A8E">
            <w:pPr>
              <w:spacing w:before="40" w:after="40"/>
              <w:rPr>
                <w:rFonts w:eastAsia="Times New Roman" w:cstheme="minorHAnsi"/>
                <w:b w:val="0"/>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E062EB" w:rsidRPr="00585B86" w:rsidRDefault="00E062EB"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Agency role and main functions</w:t>
            </w:r>
          </w:p>
        </w:tc>
        <w:tc>
          <w:tcPr>
            <w:tcW w:w="2469" w:type="dxa"/>
          </w:tcPr>
          <w:p w:rsidR="00E062EB" w:rsidRPr="00585B86" w:rsidRDefault="00E062EB"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proofErr w:type="spellStart"/>
            <w:r w:rsidRPr="00585B86">
              <w:rPr>
                <w:rFonts w:eastAsia="Times New Roman" w:cstheme="minorHAnsi"/>
                <w:i w:val="0"/>
                <w:sz w:val="22"/>
                <w:szCs w:val="22"/>
                <w:lang w:val="fr-FR" w:eastAsia="en-AU"/>
              </w:rPr>
              <w:t>ARRs</w:t>
            </w:r>
            <w:proofErr w:type="spellEnd"/>
            <w:r w:rsidRPr="00585B86">
              <w:rPr>
                <w:rFonts w:eastAsia="Times New Roman" w:cstheme="minorHAnsi"/>
                <w:i w:val="0"/>
                <w:sz w:val="22"/>
                <w:szCs w:val="22"/>
                <w:lang w:val="fr-FR" w:eastAsia="en-AU"/>
              </w:rPr>
              <w:t xml:space="preserve"> – section </w:t>
            </w:r>
            <w:r w:rsidRPr="00585B86">
              <w:rPr>
                <w:rFonts w:eastAsia="Times New Roman" w:cstheme="minorHAnsi"/>
                <w:i w:val="0"/>
                <w:sz w:val="22"/>
                <w:szCs w:val="22"/>
                <w:lang w:eastAsia="en-AU"/>
              </w:rPr>
              <w:t>11.2</w:t>
            </w:r>
          </w:p>
        </w:tc>
        <w:tc>
          <w:tcPr>
            <w:cnfStyle w:val="000100000000" w:firstRow="0" w:lastRow="0" w:firstColumn="0" w:lastColumn="1" w:oddVBand="0" w:evenVBand="0" w:oddHBand="0" w:evenHBand="0" w:firstRowFirstColumn="0" w:firstRowLastColumn="0" w:lastRowFirstColumn="0" w:lastRowLastColumn="0"/>
            <w:tcW w:w="1530" w:type="dxa"/>
          </w:tcPr>
          <w:p w:rsidR="00E062EB"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Page 6</w:t>
            </w:r>
          </w:p>
        </w:tc>
      </w:tr>
      <w:tr w:rsidR="00E062EB"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tcPr>
          <w:p w:rsidR="00E062EB" w:rsidRPr="00585B86" w:rsidRDefault="00E062EB" w:rsidP="00CC5A8E">
            <w:pPr>
              <w:spacing w:before="40" w:after="40"/>
              <w:rPr>
                <w:rFonts w:eastAsia="Times New Roman" w:cstheme="minorHAnsi"/>
                <w:b w:val="0"/>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E062EB" w:rsidRPr="00585B86" w:rsidRDefault="00E062EB"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Operating environment</w:t>
            </w:r>
          </w:p>
        </w:tc>
        <w:tc>
          <w:tcPr>
            <w:tcW w:w="2469" w:type="dxa"/>
          </w:tcPr>
          <w:p w:rsidR="00E062EB" w:rsidRPr="00585B86" w:rsidRDefault="00E062EB"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val="fr-FR" w:eastAsia="en-AU"/>
              </w:rPr>
            </w:pPr>
            <w:proofErr w:type="spellStart"/>
            <w:r w:rsidRPr="00585B86">
              <w:rPr>
                <w:rFonts w:eastAsia="Times New Roman" w:cstheme="minorHAnsi"/>
                <w:i w:val="0"/>
                <w:sz w:val="22"/>
                <w:szCs w:val="22"/>
                <w:lang w:val="fr-FR" w:eastAsia="en-AU"/>
              </w:rPr>
              <w:t>ARRs</w:t>
            </w:r>
            <w:proofErr w:type="spellEnd"/>
            <w:r w:rsidRPr="00585B86">
              <w:rPr>
                <w:rFonts w:eastAsia="Times New Roman" w:cstheme="minorHAnsi"/>
                <w:i w:val="0"/>
                <w:sz w:val="22"/>
                <w:szCs w:val="22"/>
                <w:lang w:val="fr-FR" w:eastAsia="en-AU"/>
              </w:rPr>
              <w:t xml:space="preserve"> – section </w:t>
            </w:r>
            <w:r w:rsidRPr="00585B86">
              <w:rPr>
                <w:rFonts w:eastAsia="Times New Roman" w:cstheme="minorHAnsi"/>
                <w:i w:val="0"/>
                <w:sz w:val="22"/>
                <w:szCs w:val="22"/>
                <w:lang w:eastAsia="en-AU"/>
              </w:rPr>
              <w:t>11.3</w:t>
            </w:r>
          </w:p>
        </w:tc>
        <w:tc>
          <w:tcPr>
            <w:cnfStyle w:val="000100000000" w:firstRow="0" w:lastRow="0" w:firstColumn="0" w:lastColumn="1" w:oddVBand="0" w:evenVBand="0" w:oddHBand="0" w:evenHBand="0" w:firstRowFirstColumn="0" w:firstRowLastColumn="0" w:lastRowFirstColumn="0" w:lastRowLastColumn="0"/>
            <w:tcW w:w="1530" w:type="dxa"/>
          </w:tcPr>
          <w:p w:rsidR="00E062EB"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Page 6</w:t>
            </w:r>
          </w:p>
        </w:tc>
      </w:tr>
      <w:tr w:rsidR="00E062EB" w:rsidRPr="00585B86" w:rsidTr="00585B86">
        <w:tc>
          <w:tcPr>
            <w:cnfStyle w:val="001000000000" w:firstRow="0" w:lastRow="0" w:firstColumn="1" w:lastColumn="0" w:oddVBand="0" w:evenVBand="0" w:oddHBand="0" w:evenHBand="0" w:firstRowFirstColumn="0" w:firstRowLastColumn="0" w:lastRowFirstColumn="0" w:lastRowLastColumn="0"/>
            <w:tcW w:w="2019" w:type="dxa"/>
            <w:vMerge/>
          </w:tcPr>
          <w:p w:rsidR="00E062EB" w:rsidRPr="00585B86" w:rsidRDefault="00E062EB" w:rsidP="00CC5A8E">
            <w:pPr>
              <w:spacing w:before="40" w:after="40"/>
              <w:rPr>
                <w:rFonts w:eastAsia="Times New Roman" w:cstheme="minorHAnsi"/>
                <w:b w:val="0"/>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E062EB" w:rsidRPr="00585B86" w:rsidRDefault="00E062EB"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Machinery of Government changes</w:t>
            </w:r>
          </w:p>
        </w:tc>
        <w:tc>
          <w:tcPr>
            <w:tcW w:w="2469" w:type="dxa"/>
          </w:tcPr>
          <w:p w:rsidR="00E062EB" w:rsidRPr="00585B86" w:rsidRDefault="00E062EB"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proofErr w:type="spellStart"/>
            <w:r w:rsidRPr="00585B86">
              <w:rPr>
                <w:rFonts w:eastAsia="Times New Roman" w:cstheme="minorHAnsi"/>
                <w:i w:val="0"/>
                <w:sz w:val="22"/>
                <w:szCs w:val="22"/>
                <w:lang w:val="fr-FR" w:eastAsia="en-AU"/>
              </w:rPr>
              <w:t>ARRs</w:t>
            </w:r>
            <w:proofErr w:type="spellEnd"/>
            <w:r w:rsidRPr="00585B86">
              <w:rPr>
                <w:rFonts w:eastAsia="Times New Roman" w:cstheme="minorHAnsi"/>
                <w:i w:val="0"/>
                <w:sz w:val="22"/>
                <w:szCs w:val="22"/>
                <w:lang w:val="fr-FR" w:eastAsia="en-AU"/>
              </w:rPr>
              <w:t xml:space="preserve"> – section </w:t>
            </w:r>
            <w:r w:rsidRPr="00585B86">
              <w:rPr>
                <w:rFonts w:eastAsia="Times New Roman" w:cstheme="minorHAnsi"/>
                <w:i w:val="0"/>
                <w:sz w:val="22"/>
                <w:szCs w:val="22"/>
                <w:lang w:eastAsia="en-AU"/>
              </w:rPr>
              <w:t>11.4</w:t>
            </w:r>
          </w:p>
        </w:tc>
        <w:tc>
          <w:tcPr>
            <w:cnfStyle w:val="000100000000" w:firstRow="0" w:lastRow="0" w:firstColumn="0" w:lastColumn="1" w:oddVBand="0" w:evenVBand="0" w:oddHBand="0" w:evenHBand="0" w:firstRowFirstColumn="0" w:firstRowLastColumn="0" w:lastRowFirstColumn="0" w:lastRowLastColumn="0"/>
            <w:tcW w:w="1530" w:type="dxa"/>
          </w:tcPr>
          <w:p w:rsidR="00E062EB"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N/A</w:t>
            </w:r>
          </w:p>
        </w:tc>
      </w:tr>
      <w:tr w:rsidR="003640E9"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val="restart"/>
          </w:tcPr>
          <w:p w:rsidR="003640E9" w:rsidRPr="00585B86" w:rsidRDefault="003640E9" w:rsidP="00CC5A8E">
            <w:pPr>
              <w:spacing w:before="40" w:after="40"/>
              <w:rPr>
                <w:rFonts w:eastAsia="Times New Roman" w:cstheme="minorHAnsi"/>
                <w:b w:val="0"/>
                <w:bCs w:val="0"/>
                <w:i w:val="0"/>
                <w:sz w:val="22"/>
                <w:szCs w:val="22"/>
                <w:lang w:eastAsia="en-AU"/>
              </w:rPr>
            </w:pPr>
            <w:r w:rsidRPr="00585B86">
              <w:rPr>
                <w:rFonts w:eastAsia="Times New Roman" w:cstheme="minorHAnsi"/>
                <w:b w:val="0"/>
                <w:bCs w:val="0"/>
                <w:i w:val="0"/>
                <w:sz w:val="22"/>
                <w:szCs w:val="22"/>
                <w:lang w:eastAsia="en-AU"/>
              </w:rPr>
              <w:t>Non-financial performance</w:t>
            </w:r>
          </w:p>
        </w:tc>
        <w:tc>
          <w:tcPr>
            <w:cnfStyle w:val="000010000000" w:firstRow="0" w:lastRow="0" w:firstColumn="0" w:lastColumn="0" w:oddVBand="1" w:evenVBand="0" w:oddHBand="0" w:evenHBand="0" w:firstRowFirstColumn="0" w:firstRowLastColumn="0" w:lastRowFirstColumn="0" w:lastRowLastColumn="0"/>
            <w:tcW w:w="3860" w:type="dxa"/>
          </w:tcPr>
          <w:p w:rsidR="003640E9" w:rsidRPr="00585B86" w:rsidRDefault="003640E9"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Government objectives for the community</w:t>
            </w:r>
          </w:p>
        </w:tc>
        <w:tc>
          <w:tcPr>
            <w:tcW w:w="2469" w:type="dxa"/>
          </w:tcPr>
          <w:p w:rsidR="003640E9" w:rsidRPr="00585B86" w:rsidRDefault="00E062EB"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585B86">
              <w:rPr>
                <w:rFonts w:eastAsia="Times New Roman" w:cstheme="minorHAnsi"/>
                <w:i w:val="0"/>
                <w:sz w:val="22"/>
                <w:szCs w:val="22"/>
                <w:lang w:eastAsia="en-AU"/>
              </w:rPr>
              <w:t>ARRs – section  12</w:t>
            </w:r>
            <w:r w:rsidR="003640E9" w:rsidRPr="00585B86">
              <w:rPr>
                <w:rFonts w:eastAsia="Times New Roman" w:cstheme="minorHAnsi"/>
                <w:i w:val="0"/>
                <w:sz w:val="22"/>
                <w:szCs w:val="22"/>
                <w:lang w:eastAsia="en-AU"/>
              </w:rPr>
              <w:t>.1</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85B86" w:rsidRDefault="00522EE6"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Page 6</w:t>
            </w:r>
          </w:p>
        </w:tc>
      </w:tr>
      <w:tr w:rsidR="003640E9" w:rsidRPr="00585B86" w:rsidTr="00585B86">
        <w:tc>
          <w:tcPr>
            <w:cnfStyle w:val="001000000000" w:firstRow="0" w:lastRow="0" w:firstColumn="1" w:lastColumn="0" w:oddVBand="0" w:evenVBand="0" w:oddHBand="0" w:evenHBand="0" w:firstRowFirstColumn="0" w:firstRowLastColumn="0" w:lastRowFirstColumn="0" w:lastRowLastColumn="0"/>
            <w:tcW w:w="2019" w:type="dxa"/>
            <w:vMerge/>
          </w:tcPr>
          <w:p w:rsidR="003640E9" w:rsidRPr="00585B86" w:rsidRDefault="003640E9" w:rsidP="00CC5A8E">
            <w:pPr>
              <w:spacing w:before="40" w:after="40"/>
              <w:rPr>
                <w:rFonts w:eastAsia="Times New Roman" w:cstheme="minorHAnsi"/>
                <w:b w:val="0"/>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585B86" w:rsidRDefault="003640E9"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Other whole-of-government plans / specific initiatives</w:t>
            </w:r>
          </w:p>
        </w:tc>
        <w:tc>
          <w:tcPr>
            <w:tcW w:w="2469" w:type="dxa"/>
          </w:tcPr>
          <w:p w:rsidR="003640E9" w:rsidRPr="00585B86" w:rsidRDefault="003640E9"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585B86">
              <w:rPr>
                <w:rFonts w:eastAsia="Times New Roman" w:cstheme="minorHAnsi"/>
                <w:i w:val="0"/>
                <w:sz w:val="22"/>
                <w:szCs w:val="22"/>
                <w:lang w:eastAsia="en-AU"/>
              </w:rPr>
              <w:t>ARRs – section 1</w:t>
            </w:r>
            <w:r w:rsidR="00E062EB" w:rsidRPr="00585B86">
              <w:rPr>
                <w:rFonts w:eastAsia="Times New Roman" w:cstheme="minorHAnsi"/>
                <w:i w:val="0"/>
                <w:sz w:val="22"/>
                <w:szCs w:val="22"/>
                <w:lang w:eastAsia="en-AU"/>
              </w:rPr>
              <w:t>2</w:t>
            </w:r>
            <w:r w:rsidRPr="00585B86">
              <w:rPr>
                <w:rFonts w:eastAsia="Times New Roman" w:cstheme="minorHAnsi"/>
                <w:i w:val="0"/>
                <w:sz w:val="22"/>
                <w:szCs w:val="22"/>
                <w:lang w:eastAsia="en-AU"/>
              </w:rPr>
              <w:t>.2</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N/A</w:t>
            </w:r>
          </w:p>
        </w:tc>
      </w:tr>
      <w:tr w:rsidR="003640E9"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tcPr>
          <w:p w:rsidR="003640E9" w:rsidRPr="00585B86" w:rsidRDefault="003640E9" w:rsidP="00CC5A8E">
            <w:pPr>
              <w:spacing w:before="40" w:after="40"/>
              <w:rPr>
                <w:rFonts w:eastAsia="Times New Roman" w:cstheme="minorHAnsi"/>
                <w:b w:val="0"/>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585B86" w:rsidRDefault="00E062EB"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Agency objectives and performance indicators</w:t>
            </w:r>
          </w:p>
        </w:tc>
        <w:tc>
          <w:tcPr>
            <w:tcW w:w="2469" w:type="dxa"/>
          </w:tcPr>
          <w:p w:rsidR="003640E9" w:rsidRPr="00585B86" w:rsidRDefault="003640E9"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585B86">
              <w:rPr>
                <w:rFonts w:eastAsia="Times New Roman" w:cstheme="minorHAnsi"/>
                <w:i w:val="0"/>
                <w:sz w:val="22"/>
                <w:szCs w:val="22"/>
                <w:lang w:eastAsia="en-AU"/>
              </w:rPr>
              <w:t>ARRs – section 1</w:t>
            </w:r>
            <w:r w:rsidR="00E062EB" w:rsidRPr="00585B86">
              <w:rPr>
                <w:rFonts w:eastAsia="Times New Roman" w:cstheme="minorHAnsi"/>
                <w:i w:val="0"/>
                <w:sz w:val="22"/>
                <w:szCs w:val="22"/>
                <w:lang w:eastAsia="en-AU"/>
              </w:rPr>
              <w:t>2</w:t>
            </w:r>
            <w:r w:rsidRPr="00585B86">
              <w:rPr>
                <w:rFonts w:eastAsia="Times New Roman" w:cstheme="minorHAnsi"/>
                <w:i w:val="0"/>
                <w:sz w:val="22"/>
                <w:szCs w:val="22"/>
                <w:lang w:eastAsia="en-AU"/>
              </w:rPr>
              <w:t>.3</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Page 7,9</w:t>
            </w:r>
          </w:p>
        </w:tc>
      </w:tr>
      <w:tr w:rsidR="003640E9" w:rsidRPr="00585B86" w:rsidTr="00585B86">
        <w:tc>
          <w:tcPr>
            <w:cnfStyle w:val="001000000000" w:firstRow="0" w:lastRow="0" w:firstColumn="1" w:lastColumn="0" w:oddVBand="0" w:evenVBand="0" w:oddHBand="0" w:evenHBand="0" w:firstRowFirstColumn="0" w:firstRowLastColumn="0" w:lastRowFirstColumn="0" w:lastRowLastColumn="0"/>
            <w:tcW w:w="2019" w:type="dxa"/>
            <w:vMerge/>
          </w:tcPr>
          <w:p w:rsidR="003640E9" w:rsidRPr="00585B86" w:rsidRDefault="003640E9" w:rsidP="00CC5A8E">
            <w:pPr>
              <w:spacing w:before="40" w:after="40"/>
              <w:rPr>
                <w:rFonts w:eastAsia="Times New Roman" w:cstheme="minorHAnsi"/>
                <w:b w:val="0"/>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585B86" w:rsidRDefault="00E062EB"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Agency service areas,</w:t>
            </w:r>
            <w:r w:rsidR="00216388" w:rsidRPr="00585B86">
              <w:rPr>
                <w:rFonts w:eastAsia="Times New Roman" w:cstheme="minorHAnsi"/>
                <w:i w:val="0"/>
                <w:sz w:val="22"/>
                <w:szCs w:val="22"/>
                <w:lang w:eastAsia="en-AU"/>
              </w:rPr>
              <w:t xml:space="preserve"> and</w:t>
            </w:r>
            <w:r w:rsidRPr="00585B86">
              <w:rPr>
                <w:rFonts w:eastAsia="Times New Roman" w:cstheme="minorHAnsi"/>
                <w:i w:val="0"/>
                <w:sz w:val="22"/>
                <w:szCs w:val="22"/>
                <w:lang w:eastAsia="en-AU"/>
              </w:rPr>
              <w:t xml:space="preserve"> </w:t>
            </w:r>
            <w:r w:rsidR="00216388" w:rsidRPr="00585B86">
              <w:rPr>
                <w:rFonts w:eastAsia="Times New Roman" w:cstheme="minorHAnsi"/>
                <w:i w:val="0"/>
                <w:sz w:val="22"/>
                <w:szCs w:val="22"/>
                <w:lang w:eastAsia="en-AU"/>
              </w:rPr>
              <w:t>service standards</w:t>
            </w:r>
          </w:p>
        </w:tc>
        <w:tc>
          <w:tcPr>
            <w:tcW w:w="2469" w:type="dxa"/>
          </w:tcPr>
          <w:p w:rsidR="003640E9" w:rsidRPr="00585B86" w:rsidRDefault="003640E9"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585B86">
              <w:rPr>
                <w:rFonts w:eastAsia="Times New Roman" w:cstheme="minorHAnsi"/>
                <w:i w:val="0"/>
                <w:sz w:val="22"/>
                <w:szCs w:val="22"/>
                <w:lang w:eastAsia="en-AU"/>
              </w:rPr>
              <w:t>ARRs – section 1</w:t>
            </w:r>
            <w:r w:rsidR="00E062EB" w:rsidRPr="00585B86">
              <w:rPr>
                <w:rFonts w:eastAsia="Times New Roman" w:cstheme="minorHAnsi"/>
                <w:i w:val="0"/>
                <w:sz w:val="22"/>
                <w:szCs w:val="22"/>
                <w:lang w:eastAsia="en-AU"/>
              </w:rPr>
              <w:t>2</w:t>
            </w:r>
            <w:r w:rsidRPr="00585B86">
              <w:rPr>
                <w:rFonts w:eastAsia="Times New Roman" w:cstheme="minorHAnsi"/>
                <w:i w:val="0"/>
                <w:sz w:val="22"/>
                <w:szCs w:val="22"/>
                <w:lang w:eastAsia="en-AU"/>
              </w:rPr>
              <w:t>.4</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85B86" w:rsidRDefault="00D55F0C" w:rsidP="00CC5A8E">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Page 9</w:t>
            </w:r>
          </w:p>
        </w:tc>
      </w:tr>
      <w:tr w:rsidR="003640E9" w:rsidRPr="00585B86"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rsidR="003640E9" w:rsidRPr="00585B86" w:rsidRDefault="003640E9" w:rsidP="00CC5A8E">
            <w:pPr>
              <w:spacing w:before="40" w:after="40"/>
              <w:rPr>
                <w:rFonts w:eastAsia="Times New Roman" w:cstheme="minorHAnsi"/>
                <w:b w:val="0"/>
                <w:bCs w:val="0"/>
                <w:i w:val="0"/>
                <w:sz w:val="22"/>
                <w:szCs w:val="22"/>
                <w:lang w:eastAsia="en-AU"/>
              </w:rPr>
            </w:pPr>
            <w:r w:rsidRPr="00585B86">
              <w:rPr>
                <w:rFonts w:eastAsia="Times New Roman" w:cstheme="minorHAnsi"/>
                <w:b w:val="0"/>
                <w:bCs w:val="0"/>
                <w:i w:val="0"/>
                <w:sz w:val="22"/>
                <w:szCs w:val="22"/>
                <w:lang w:eastAsia="en-AU"/>
              </w:rPr>
              <w:t>Financial performance</w:t>
            </w:r>
          </w:p>
        </w:tc>
        <w:tc>
          <w:tcPr>
            <w:cnfStyle w:val="000010000000" w:firstRow="0" w:lastRow="0" w:firstColumn="0" w:lastColumn="0" w:oddVBand="1" w:evenVBand="0" w:oddHBand="0" w:evenHBand="0" w:firstRowFirstColumn="0" w:firstRowLastColumn="0" w:lastRowFirstColumn="0" w:lastRowLastColumn="0"/>
            <w:tcW w:w="3860" w:type="dxa"/>
          </w:tcPr>
          <w:p w:rsidR="003640E9" w:rsidRPr="00585B86" w:rsidRDefault="003640E9" w:rsidP="00A837E5">
            <w:pPr>
              <w:numPr>
                <w:ilvl w:val="0"/>
                <w:numId w:val="6"/>
              </w:numPr>
              <w:tabs>
                <w:tab w:val="num" w:pos="252"/>
              </w:tabs>
              <w:spacing w:before="40" w:after="40"/>
              <w:ind w:left="252" w:hanging="252"/>
              <w:rPr>
                <w:rFonts w:eastAsia="Times New Roman" w:cstheme="minorHAnsi"/>
                <w:i w:val="0"/>
                <w:sz w:val="22"/>
                <w:szCs w:val="22"/>
                <w:lang w:eastAsia="en-AU"/>
              </w:rPr>
            </w:pPr>
            <w:r w:rsidRPr="00585B86">
              <w:rPr>
                <w:rFonts w:eastAsia="Times New Roman" w:cstheme="minorHAnsi"/>
                <w:i w:val="0"/>
                <w:sz w:val="22"/>
                <w:szCs w:val="22"/>
                <w:lang w:eastAsia="en-AU"/>
              </w:rPr>
              <w:t>Summary of financial performance</w:t>
            </w:r>
          </w:p>
        </w:tc>
        <w:tc>
          <w:tcPr>
            <w:tcW w:w="2469" w:type="dxa"/>
          </w:tcPr>
          <w:p w:rsidR="003640E9" w:rsidRPr="00585B86" w:rsidRDefault="003640E9"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585B86">
              <w:rPr>
                <w:rFonts w:eastAsia="Times New Roman" w:cstheme="minorHAnsi"/>
                <w:i w:val="0"/>
                <w:sz w:val="22"/>
                <w:szCs w:val="22"/>
                <w:lang w:eastAsia="en-AU"/>
              </w:rPr>
              <w:t>ARRs – section 1</w:t>
            </w:r>
            <w:r w:rsidR="00E062EB" w:rsidRPr="00585B86">
              <w:rPr>
                <w:rFonts w:eastAsia="Times New Roman" w:cstheme="minorHAnsi"/>
                <w:i w:val="0"/>
                <w:sz w:val="22"/>
                <w:szCs w:val="22"/>
                <w:lang w:eastAsia="en-AU"/>
              </w:rPr>
              <w:t>3</w:t>
            </w:r>
            <w:r w:rsidRPr="00585B86">
              <w:rPr>
                <w:rFonts w:eastAsia="Times New Roman" w:cstheme="minorHAnsi"/>
                <w:i w:val="0"/>
                <w:sz w:val="22"/>
                <w:szCs w:val="22"/>
                <w:lang w:eastAsia="en-AU"/>
              </w:rPr>
              <w:t>.1</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85B86" w:rsidRDefault="00D55F0C" w:rsidP="00AB75F0">
            <w:pPr>
              <w:spacing w:before="40" w:after="40"/>
              <w:jc w:val="center"/>
              <w:rPr>
                <w:rFonts w:eastAsia="Times New Roman" w:cstheme="minorHAnsi"/>
                <w:b w:val="0"/>
                <w:i w:val="0"/>
                <w:sz w:val="22"/>
                <w:szCs w:val="22"/>
                <w:lang w:eastAsia="en-AU"/>
              </w:rPr>
            </w:pPr>
            <w:r w:rsidRPr="00585B86">
              <w:rPr>
                <w:rFonts w:eastAsia="Times New Roman" w:cstheme="minorHAnsi"/>
                <w:b w:val="0"/>
                <w:i w:val="0"/>
                <w:sz w:val="22"/>
                <w:szCs w:val="22"/>
                <w:lang w:eastAsia="en-AU"/>
              </w:rPr>
              <w:t>Page 4</w:t>
            </w:r>
            <w:r w:rsidR="00522EE6" w:rsidRPr="00585B86">
              <w:rPr>
                <w:rFonts w:eastAsia="Times New Roman" w:cstheme="minorHAnsi"/>
                <w:b w:val="0"/>
                <w:i w:val="0"/>
                <w:sz w:val="22"/>
                <w:szCs w:val="22"/>
                <w:lang w:eastAsia="en-AU"/>
              </w:rPr>
              <w:t>3</w:t>
            </w:r>
          </w:p>
        </w:tc>
      </w:tr>
      <w:tr w:rsidR="003640E9" w:rsidRPr="00743D8C" w:rsidTr="00585B86">
        <w:tc>
          <w:tcPr>
            <w:cnfStyle w:val="001000000000" w:firstRow="0" w:lastRow="0" w:firstColumn="1" w:lastColumn="0" w:oddVBand="0" w:evenVBand="0" w:oddHBand="0" w:evenHBand="0" w:firstRowFirstColumn="0" w:firstRowLastColumn="0" w:lastRowFirstColumn="0" w:lastRowLastColumn="0"/>
            <w:tcW w:w="2019" w:type="dxa"/>
            <w:vMerge w:val="restart"/>
          </w:tcPr>
          <w:p w:rsidR="003640E9" w:rsidRPr="002F3BB0" w:rsidRDefault="003640E9" w:rsidP="00CC5A8E">
            <w:pPr>
              <w:pageBreakBefore/>
              <w:spacing w:before="40" w:after="40"/>
              <w:rPr>
                <w:rFonts w:eastAsia="Times New Roman" w:cstheme="minorHAnsi"/>
                <w:bCs w:val="0"/>
                <w:i w:val="0"/>
                <w:sz w:val="22"/>
                <w:szCs w:val="22"/>
                <w:lang w:eastAsia="en-AU"/>
              </w:rPr>
            </w:pPr>
            <w:r w:rsidRPr="002F3BB0">
              <w:rPr>
                <w:rFonts w:eastAsia="Times New Roman" w:cstheme="minorHAnsi"/>
                <w:bCs w:val="0"/>
                <w:i w:val="0"/>
                <w:sz w:val="22"/>
                <w:szCs w:val="22"/>
                <w:lang w:eastAsia="en-AU"/>
              </w:rPr>
              <w:lastRenderedPageBreak/>
              <w:t>Governance – management and structure</w:t>
            </w:r>
          </w:p>
        </w:tc>
        <w:tc>
          <w:tcPr>
            <w:cnfStyle w:val="000010000000" w:firstRow="0" w:lastRow="0" w:firstColumn="0" w:lastColumn="0" w:oddVBand="1" w:evenVBand="0" w:oddHBand="0" w:evenHBand="0" w:firstRowFirstColumn="0" w:firstRowLastColumn="0" w:lastRowFirstColumn="0" w:lastRowLastColumn="0"/>
            <w:tcW w:w="3860" w:type="dxa"/>
          </w:tcPr>
          <w:p w:rsidR="003640E9" w:rsidRPr="002F3BB0" w:rsidRDefault="003640E9"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Organisational structure</w:t>
            </w:r>
          </w:p>
        </w:tc>
        <w:tc>
          <w:tcPr>
            <w:tcW w:w="2469" w:type="dxa"/>
          </w:tcPr>
          <w:p w:rsidR="003640E9" w:rsidRPr="002F3BB0" w:rsidRDefault="003640E9"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w:t>
            </w:r>
            <w:r w:rsidR="00E062EB" w:rsidRPr="002F3BB0">
              <w:rPr>
                <w:rFonts w:eastAsia="Times New Roman" w:cstheme="minorHAnsi"/>
                <w:i w:val="0"/>
                <w:sz w:val="22"/>
                <w:szCs w:val="22"/>
                <w:lang w:eastAsia="en-AU"/>
              </w:rPr>
              <w:t>4</w:t>
            </w:r>
            <w:r w:rsidRPr="002F3BB0">
              <w:rPr>
                <w:rFonts w:eastAsia="Times New Roman" w:cstheme="minorHAnsi"/>
                <w:i w:val="0"/>
                <w:sz w:val="22"/>
                <w:szCs w:val="22"/>
                <w:lang w:eastAsia="en-AU"/>
              </w:rPr>
              <w:t>.1</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22EE6" w:rsidRDefault="00D55F0C"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Appendix E</w:t>
            </w:r>
          </w:p>
        </w:tc>
      </w:tr>
      <w:tr w:rsidR="003640E9" w:rsidRPr="00743D8C"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tcPr>
          <w:p w:rsidR="003640E9" w:rsidRPr="002F3BB0" w:rsidRDefault="003640E9" w:rsidP="00CC5A8E">
            <w:pPr>
              <w:spacing w:before="40" w:after="40"/>
              <w:rPr>
                <w:rFonts w:eastAsia="Times New Roman" w:cstheme="minorHAnsi"/>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2F3BB0" w:rsidRDefault="003640E9"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Executive management</w:t>
            </w:r>
          </w:p>
        </w:tc>
        <w:tc>
          <w:tcPr>
            <w:tcW w:w="2469" w:type="dxa"/>
          </w:tcPr>
          <w:p w:rsidR="003640E9" w:rsidRPr="002F3BB0" w:rsidRDefault="00E062EB"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14</w:t>
            </w:r>
            <w:r w:rsidR="003640E9" w:rsidRPr="002F3BB0">
              <w:rPr>
                <w:rFonts w:eastAsia="Times New Roman" w:cstheme="minorHAnsi"/>
                <w:i w:val="0"/>
                <w:sz w:val="22"/>
                <w:szCs w:val="22"/>
                <w:lang w:eastAsia="en-AU"/>
              </w:rPr>
              <w:t>.2</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22EE6" w:rsidRDefault="00D55F0C" w:rsidP="00522EE6">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Page 3</w:t>
            </w:r>
            <w:r w:rsidR="00522EE6" w:rsidRPr="00522EE6">
              <w:rPr>
                <w:rFonts w:eastAsia="Times New Roman" w:cstheme="minorHAnsi"/>
                <w:i w:val="0"/>
                <w:sz w:val="22"/>
                <w:szCs w:val="22"/>
                <w:lang w:eastAsia="en-AU"/>
              </w:rPr>
              <w:t>8</w:t>
            </w:r>
          </w:p>
        </w:tc>
      </w:tr>
      <w:tr w:rsidR="003640E9" w:rsidRPr="00743D8C" w:rsidTr="00585B86">
        <w:tc>
          <w:tcPr>
            <w:cnfStyle w:val="001000000000" w:firstRow="0" w:lastRow="0" w:firstColumn="1" w:lastColumn="0" w:oddVBand="0" w:evenVBand="0" w:oddHBand="0" w:evenHBand="0" w:firstRowFirstColumn="0" w:firstRowLastColumn="0" w:lastRowFirstColumn="0" w:lastRowLastColumn="0"/>
            <w:tcW w:w="2019" w:type="dxa"/>
            <w:vMerge/>
          </w:tcPr>
          <w:p w:rsidR="003640E9" w:rsidRPr="002F3BB0" w:rsidRDefault="003640E9" w:rsidP="00CC5A8E">
            <w:pPr>
              <w:spacing w:before="40" w:after="40"/>
              <w:rPr>
                <w:rFonts w:eastAsia="Times New Roman" w:cstheme="minorHAnsi"/>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2F3BB0" w:rsidRDefault="003640E9"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Related entities</w:t>
            </w:r>
          </w:p>
        </w:tc>
        <w:tc>
          <w:tcPr>
            <w:tcW w:w="2469" w:type="dxa"/>
          </w:tcPr>
          <w:p w:rsidR="003640E9" w:rsidRPr="002F3BB0" w:rsidRDefault="003640E9"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w:t>
            </w:r>
            <w:r w:rsidR="00E062EB" w:rsidRPr="002F3BB0">
              <w:rPr>
                <w:rFonts w:eastAsia="Times New Roman" w:cstheme="minorHAnsi"/>
                <w:i w:val="0"/>
                <w:sz w:val="22"/>
                <w:szCs w:val="22"/>
                <w:lang w:eastAsia="en-AU"/>
              </w:rPr>
              <w:t>4</w:t>
            </w:r>
            <w:r w:rsidRPr="002F3BB0">
              <w:rPr>
                <w:rFonts w:eastAsia="Times New Roman" w:cstheme="minorHAnsi"/>
                <w:i w:val="0"/>
                <w:sz w:val="22"/>
                <w:szCs w:val="22"/>
                <w:lang w:eastAsia="en-AU"/>
              </w:rPr>
              <w:t>.3</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22EE6" w:rsidRDefault="00D55F0C"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N/A</w:t>
            </w:r>
          </w:p>
        </w:tc>
      </w:tr>
      <w:tr w:rsidR="003640E9" w:rsidRPr="00743D8C"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tcPr>
          <w:p w:rsidR="003640E9" w:rsidRPr="002F3BB0" w:rsidRDefault="003640E9" w:rsidP="00CC5A8E">
            <w:pPr>
              <w:spacing w:before="40" w:after="40"/>
              <w:rPr>
                <w:rFonts w:eastAsia="Times New Roman" w:cstheme="minorHAnsi"/>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2F3BB0" w:rsidRDefault="00FE3111"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Government bodies</w:t>
            </w:r>
          </w:p>
        </w:tc>
        <w:tc>
          <w:tcPr>
            <w:tcW w:w="2469" w:type="dxa"/>
          </w:tcPr>
          <w:p w:rsidR="003640E9" w:rsidRPr="002F3BB0" w:rsidRDefault="00E062EB"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14</w:t>
            </w:r>
            <w:r w:rsidR="003640E9" w:rsidRPr="002F3BB0">
              <w:rPr>
                <w:rFonts w:eastAsia="Times New Roman" w:cstheme="minorHAnsi"/>
                <w:i w:val="0"/>
                <w:sz w:val="22"/>
                <w:szCs w:val="22"/>
                <w:lang w:eastAsia="en-AU"/>
              </w:rPr>
              <w:t>.</w:t>
            </w:r>
            <w:r w:rsidRPr="002F3BB0">
              <w:rPr>
                <w:rFonts w:eastAsia="Times New Roman" w:cstheme="minorHAnsi"/>
                <w:i w:val="0"/>
                <w:sz w:val="22"/>
                <w:szCs w:val="22"/>
                <w:lang w:eastAsia="en-AU"/>
              </w:rPr>
              <w:t>4</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22EE6" w:rsidRDefault="00D55F0C"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N/A</w:t>
            </w:r>
          </w:p>
        </w:tc>
      </w:tr>
      <w:tr w:rsidR="003640E9" w:rsidRPr="00743D8C" w:rsidTr="00585B86">
        <w:tc>
          <w:tcPr>
            <w:cnfStyle w:val="001000000000" w:firstRow="0" w:lastRow="0" w:firstColumn="1" w:lastColumn="0" w:oddVBand="0" w:evenVBand="0" w:oddHBand="0" w:evenHBand="0" w:firstRowFirstColumn="0" w:firstRowLastColumn="0" w:lastRowFirstColumn="0" w:lastRowLastColumn="0"/>
            <w:tcW w:w="2019" w:type="dxa"/>
            <w:vMerge/>
          </w:tcPr>
          <w:p w:rsidR="003640E9" w:rsidRPr="002F3BB0" w:rsidRDefault="003640E9" w:rsidP="00CC5A8E">
            <w:pPr>
              <w:spacing w:before="40" w:after="40"/>
              <w:rPr>
                <w:rFonts w:eastAsia="Times New Roman" w:cstheme="minorHAnsi"/>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2F3BB0" w:rsidRDefault="003640E9" w:rsidP="0090367C">
            <w:pPr>
              <w:spacing w:before="40" w:after="40"/>
              <w:rPr>
                <w:rFonts w:eastAsia="Times New Roman" w:cstheme="minorHAnsi"/>
                <w:sz w:val="22"/>
                <w:szCs w:val="22"/>
                <w:lang w:eastAsia="en-AU"/>
              </w:rPr>
            </w:pPr>
            <w:r w:rsidRPr="002F3BB0">
              <w:rPr>
                <w:rFonts w:eastAsia="Times New Roman" w:cstheme="minorHAnsi"/>
                <w:sz w:val="22"/>
                <w:szCs w:val="22"/>
                <w:lang w:eastAsia="en-AU"/>
              </w:rPr>
              <w:t>Public Sector Ethics Act 1994</w:t>
            </w:r>
          </w:p>
        </w:tc>
        <w:tc>
          <w:tcPr>
            <w:tcW w:w="2469" w:type="dxa"/>
          </w:tcPr>
          <w:p w:rsidR="003640E9" w:rsidRPr="002F3BB0" w:rsidRDefault="003640E9"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AU"/>
              </w:rPr>
            </w:pPr>
            <w:r w:rsidRPr="002F3BB0">
              <w:rPr>
                <w:rFonts w:eastAsia="Times New Roman" w:cstheme="minorHAnsi"/>
                <w:sz w:val="22"/>
                <w:szCs w:val="22"/>
                <w:lang w:eastAsia="en-AU"/>
              </w:rPr>
              <w:t>Public Sector Ethics Act 1994</w:t>
            </w:r>
          </w:p>
          <w:p w:rsidR="003640E9" w:rsidRPr="002F3BB0" w:rsidRDefault="003640E9"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(section 23 and Schedule)</w:t>
            </w:r>
          </w:p>
          <w:p w:rsidR="003640E9" w:rsidRPr="002F3BB0" w:rsidRDefault="003640E9"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w:t>
            </w:r>
            <w:r w:rsidR="00E062EB" w:rsidRPr="002F3BB0">
              <w:rPr>
                <w:rFonts w:eastAsia="Times New Roman" w:cstheme="minorHAnsi"/>
                <w:i w:val="0"/>
                <w:sz w:val="22"/>
                <w:szCs w:val="22"/>
                <w:lang w:eastAsia="en-AU"/>
              </w:rPr>
              <w:t>4</w:t>
            </w:r>
            <w:r w:rsidRPr="002F3BB0">
              <w:rPr>
                <w:rFonts w:eastAsia="Times New Roman" w:cstheme="minorHAnsi"/>
                <w:i w:val="0"/>
                <w:sz w:val="22"/>
                <w:szCs w:val="22"/>
                <w:lang w:eastAsia="en-AU"/>
              </w:rPr>
              <w:t>.</w:t>
            </w:r>
            <w:r w:rsidR="00E062EB" w:rsidRPr="002F3BB0">
              <w:rPr>
                <w:rFonts w:eastAsia="Times New Roman" w:cstheme="minorHAnsi"/>
                <w:i w:val="0"/>
                <w:sz w:val="22"/>
                <w:szCs w:val="22"/>
                <w:lang w:eastAsia="en-AU"/>
              </w:rPr>
              <w:t>5</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22EE6" w:rsidRDefault="00522EE6"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Page 41</w:t>
            </w:r>
          </w:p>
        </w:tc>
      </w:tr>
      <w:tr w:rsidR="00E062EB" w:rsidRPr="00743D8C"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val="restart"/>
          </w:tcPr>
          <w:p w:rsidR="00E062EB" w:rsidRPr="002F3BB0" w:rsidRDefault="00E062EB" w:rsidP="00CC5A8E">
            <w:pPr>
              <w:spacing w:before="40" w:after="40"/>
              <w:rPr>
                <w:rFonts w:eastAsia="Times New Roman" w:cstheme="minorHAnsi"/>
                <w:bCs w:val="0"/>
                <w:i w:val="0"/>
                <w:sz w:val="22"/>
                <w:szCs w:val="22"/>
                <w:lang w:eastAsia="en-AU"/>
              </w:rPr>
            </w:pPr>
            <w:r w:rsidRPr="002F3BB0">
              <w:rPr>
                <w:rFonts w:eastAsia="Times New Roman" w:cstheme="minorHAnsi"/>
                <w:bCs w:val="0"/>
                <w:i w:val="0"/>
                <w:sz w:val="22"/>
                <w:szCs w:val="22"/>
                <w:lang w:eastAsia="en-AU"/>
              </w:rPr>
              <w:t>Governance – risk management and accountability</w:t>
            </w:r>
          </w:p>
        </w:tc>
        <w:tc>
          <w:tcPr>
            <w:cnfStyle w:val="000010000000" w:firstRow="0" w:lastRow="0" w:firstColumn="0" w:lastColumn="0" w:oddVBand="1" w:evenVBand="0" w:oddHBand="0" w:evenHBand="0" w:firstRowFirstColumn="0" w:firstRowLastColumn="0" w:lastRowFirstColumn="0" w:lastRowLastColumn="0"/>
            <w:tcW w:w="3860" w:type="dxa"/>
          </w:tcPr>
          <w:p w:rsidR="00E062EB" w:rsidRPr="002F3BB0" w:rsidRDefault="00E062EB"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Risk management</w:t>
            </w:r>
          </w:p>
        </w:tc>
        <w:tc>
          <w:tcPr>
            <w:tcW w:w="2469" w:type="dxa"/>
          </w:tcPr>
          <w:p w:rsidR="00E062EB" w:rsidRPr="002F3BB0" w:rsidRDefault="00E062EB" w:rsidP="00CC5A8E">
            <w:pPr>
              <w:tabs>
                <w:tab w:val="right" w:pos="2304"/>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15.1</w:t>
            </w:r>
          </w:p>
        </w:tc>
        <w:tc>
          <w:tcPr>
            <w:cnfStyle w:val="000100000000" w:firstRow="0" w:lastRow="0" w:firstColumn="0" w:lastColumn="1" w:oddVBand="0" w:evenVBand="0" w:oddHBand="0" w:evenHBand="0" w:firstRowFirstColumn="0" w:firstRowLastColumn="0" w:lastRowFirstColumn="0" w:lastRowLastColumn="0"/>
            <w:tcW w:w="1530" w:type="dxa"/>
          </w:tcPr>
          <w:p w:rsidR="00E062EB" w:rsidRPr="00522EE6" w:rsidRDefault="00522EE6"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Page 42</w:t>
            </w:r>
          </w:p>
        </w:tc>
      </w:tr>
      <w:tr w:rsidR="00E062EB" w:rsidRPr="00743D8C" w:rsidTr="00585B86">
        <w:tc>
          <w:tcPr>
            <w:cnfStyle w:val="001000000000" w:firstRow="0" w:lastRow="0" w:firstColumn="1" w:lastColumn="0" w:oddVBand="0" w:evenVBand="0" w:oddHBand="0" w:evenHBand="0" w:firstRowFirstColumn="0" w:firstRowLastColumn="0" w:lastRowFirstColumn="0" w:lastRowLastColumn="0"/>
            <w:tcW w:w="2019" w:type="dxa"/>
            <w:vMerge/>
          </w:tcPr>
          <w:p w:rsidR="00E062EB" w:rsidRPr="002F3BB0" w:rsidRDefault="00E062EB" w:rsidP="00CC5A8E">
            <w:pPr>
              <w:spacing w:before="40" w:after="40"/>
              <w:rPr>
                <w:rFonts w:eastAsia="Times New Roman" w:cstheme="minorHAnsi"/>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E062EB" w:rsidRPr="002F3BB0" w:rsidRDefault="00E062EB" w:rsidP="0098206F">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 xml:space="preserve">External </w:t>
            </w:r>
            <w:r w:rsidR="0098206F">
              <w:rPr>
                <w:rFonts w:eastAsia="Times New Roman" w:cstheme="minorHAnsi"/>
                <w:i w:val="0"/>
                <w:sz w:val="22"/>
                <w:szCs w:val="22"/>
                <w:lang w:eastAsia="en-AU"/>
              </w:rPr>
              <w:t>s</w:t>
            </w:r>
            <w:r w:rsidRPr="002F3BB0">
              <w:rPr>
                <w:rFonts w:eastAsia="Times New Roman" w:cstheme="minorHAnsi"/>
                <w:i w:val="0"/>
                <w:sz w:val="22"/>
                <w:szCs w:val="22"/>
                <w:lang w:eastAsia="en-AU"/>
              </w:rPr>
              <w:t>crutiny</w:t>
            </w:r>
          </w:p>
        </w:tc>
        <w:tc>
          <w:tcPr>
            <w:tcW w:w="2469" w:type="dxa"/>
          </w:tcPr>
          <w:p w:rsidR="00E062EB" w:rsidRPr="002F3BB0" w:rsidRDefault="00E062EB"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15.2</w:t>
            </w:r>
          </w:p>
        </w:tc>
        <w:tc>
          <w:tcPr>
            <w:cnfStyle w:val="000100000000" w:firstRow="0" w:lastRow="0" w:firstColumn="0" w:lastColumn="1" w:oddVBand="0" w:evenVBand="0" w:oddHBand="0" w:evenHBand="0" w:firstRowFirstColumn="0" w:firstRowLastColumn="0" w:lastRowFirstColumn="0" w:lastRowLastColumn="0"/>
            <w:tcW w:w="1530" w:type="dxa"/>
          </w:tcPr>
          <w:p w:rsidR="00E062EB" w:rsidRPr="00522EE6" w:rsidRDefault="00D55F0C"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N/A</w:t>
            </w:r>
          </w:p>
        </w:tc>
      </w:tr>
      <w:tr w:rsidR="00E062EB" w:rsidRPr="00743D8C"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tcPr>
          <w:p w:rsidR="00E062EB" w:rsidRPr="002F3BB0" w:rsidRDefault="00E062EB" w:rsidP="00CC5A8E">
            <w:pPr>
              <w:spacing w:before="40" w:after="40"/>
              <w:rPr>
                <w:rFonts w:eastAsia="Times New Roman" w:cstheme="minorHAnsi"/>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E062EB" w:rsidRPr="002F3BB0" w:rsidRDefault="00E062EB"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Audit committee</w:t>
            </w:r>
          </w:p>
        </w:tc>
        <w:tc>
          <w:tcPr>
            <w:tcW w:w="2469" w:type="dxa"/>
          </w:tcPr>
          <w:p w:rsidR="00E062EB" w:rsidRPr="002F3BB0" w:rsidRDefault="00E062EB"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15.3</w:t>
            </w:r>
          </w:p>
        </w:tc>
        <w:tc>
          <w:tcPr>
            <w:cnfStyle w:val="000100000000" w:firstRow="0" w:lastRow="0" w:firstColumn="0" w:lastColumn="1" w:oddVBand="0" w:evenVBand="0" w:oddHBand="0" w:evenHBand="0" w:firstRowFirstColumn="0" w:firstRowLastColumn="0" w:lastRowFirstColumn="0" w:lastRowLastColumn="0"/>
            <w:tcW w:w="1530" w:type="dxa"/>
          </w:tcPr>
          <w:p w:rsidR="00E062EB" w:rsidRPr="00522EE6" w:rsidRDefault="00522EE6"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Page 42</w:t>
            </w:r>
          </w:p>
        </w:tc>
      </w:tr>
      <w:tr w:rsidR="00E062EB" w:rsidRPr="00743D8C" w:rsidTr="00585B86">
        <w:trPr>
          <w:trHeight w:val="422"/>
        </w:trPr>
        <w:tc>
          <w:tcPr>
            <w:cnfStyle w:val="001000000000" w:firstRow="0" w:lastRow="0" w:firstColumn="1" w:lastColumn="0" w:oddVBand="0" w:evenVBand="0" w:oddHBand="0" w:evenHBand="0" w:firstRowFirstColumn="0" w:firstRowLastColumn="0" w:lastRowFirstColumn="0" w:lastRowLastColumn="0"/>
            <w:tcW w:w="2019" w:type="dxa"/>
            <w:vMerge/>
          </w:tcPr>
          <w:p w:rsidR="00E062EB" w:rsidRPr="002F3BB0" w:rsidRDefault="00E062EB" w:rsidP="00CC5A8E">
            <w:pPr>
              <w:spacing w:before="40" w:after="40"/>
              <w:rPr>
                <w:rFonts w:eastAsia="Times New Roman" w:cstheme="minorHAnsi"/>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E062EB" w:rsidRPr="002F3BB0" w:rsidRDefault="00E062EB" w:rsidP="0098206F">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 xml:space="preserve">Internal </w:t>
            </w:r>
            <w:r w:rsidR="0098206F">
              <w:rPr>
                <w:rFonts w:eastAsia="Times New Roman" w:cstheme="minorHAnsi"/>
                <w:i w:val="0"/>
                <w:sz w:val="22"/>
                <w:szCs w:val="22"/>
                <w:lang w:eastAsia="en-AU"/>
              </w:rPr>
              <w:t>a</w:t>
            </w:r>
            <w:r w:rsidRPr="002F3BB0">
              <w:rPr>
                <w:rFonts w:eastAsia="Times New Roman" w:cstheme="minorHAnsi"/>
                <w:i w:val="0"/>
                <w:sz w:val="22"/>
                <w:szCs w:val="22"/>
                <w:lang w:eastAsia="en-AU"/>
              </w:rPr>
              <w:t>udit</w:t>
            </w:r>
          </w:p>
        </w:tc>
        <w:tc>
          <w:tcPr>
            <w:tcW w:w="2469" w:type="dxa"/>
          </w:tcPr>
          <w:p w:rsidR="00E062EB" w:rsidRPr="002F3BB0" w:rsidRDefault="00E062EB"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15.4</w:t>
            </w:r>
          </w:p>
        </w:tc>
        <w:tc>
          <w:tcPr>
            <w:cnfStyle w:val="000100000000" w:firstRow="0" w:lastRow="0" w:firstColumn="0" w:lastColumn="1" w:oddVBand="0" w:evenVBand="0" w:oddHBand="0" w:evenHBand="0" w:firstRowFirstColumn="0" w:firstRowLastColumn="0" w:lastRowFirstColumn="0" w:lastRowLastColumn="0"/>
            <w:tcW w:w="1530" w:type="dxa"/>
          </w:tcPr>
          <w:p w:rsidR="00E062EB" w:rsidRPr="00522EE6" w:rsidRDefault="00522EE6"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Page 42</w:t>
            </w:r>
          </w:p>
        </w:tc>
      </w:tr>
      <w:tr w:rsidR="00E062EB" w:rsidRPr="00743D8C" w:rsidTr="00585B8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19" w:type="dxa"/>
            <w:vMerge/>
          </w:tcPr>
          <w:p w:rsidR="00E062EB" w:rsidRPr="002F3BB0" w:rsidRDefault="00E062EB" w:rsidP="00CC5A8E">
            <w:pPr>
              <w:spacing w:before="40" w:after="40"/>
              <w:rPr>
                <w:rFonts w:eastAsia="Times New Roman" w:cstheme="minorHAnsi"/>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E062EB" w:rsidRPr="002F3BB0" w:rsidRDefault="00E062EB"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Public Sector Renewal Program</w:t>
            </w:r>
          </w:p>
        </w:tc>
        <w:tc>
          <w:tcPr>
            <w:tcW w:w="2469" w:type="dxa"/>
          </w:tcPr>
          <w:p w:rsidR="00E062EB" w:rsidRPr="002F3BB0" w:rsidRDefault="00E062EB"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15.5</w:t>
            </w:r>
          </w:p>
        </w:tc>
        <w:tc>
          <w:tcPr>
            <w:cnfStyle w:val="000100000000" w:firstRow="0" w:lastRow="0" w:firstColumn="0" w:lastColumn="1" w:oddVBand="0" w:evenVBand="0" w:oddHBand="0" w:evenHBand="0" w:firstRowFirstColumn="0" w:firstRowLastColumn="0" w:lastRowFirstColumn="0" w:lastRowLastColumn="0"/>
            <w:tcW w:w="1530" w:type="dxa"/>
          </w:tcPr>
          <w:p w:rsidR="00E062EB" w:rsidRPr="00522EE6" w:rsidRDefault="00D55F0C"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N/A</w:t>
            </w:r>
          </w:p>
        </w:tc>
      </w:tr>
      <w:tr w:rsidR="00E062EB" w:rsidRPr="00743D8C" w:rsidTr="00585B86">
        <w:trPr>
          <w:trHeight w:val="422"/>
        </w:trPr>
        <w:tc>
          <w:tcPr>
            <w:cnfStyle w:val="001000000000" w:firstRow="0" w:lastRow="0" w:firstColumn="1" w:lastColumn="0" w:oddVBand="0" w:evenVBand="0" w:oddHBand="0" w:evenHBand="0" w:firstRowFirstColumn="0" w:firstRowLastColumn="0" w:lastRowFirstColumn="0" w:lastRowLastColumn="0"/>
            <w:tcW w:w="2019" w:type="dxa"/>
            <w:vMerge/>
          </w:tcPr>
          <w:p w:rsidR="00E062EB" w:rsidRPr="002F3BB0" w:rsidRDefault="00E062EB" w:rsidP="00CC5A8E">
            <w:pPr>
              <w:spacing w:before="40" w:after="40"/>
              <w:rPr>
                <w:rFonts w:eastAsia="Times New Roman" w:cstheme="minorHAnsi"/>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E062EB" w:rsidRPr="002F3BB0" w:rsidRDefault="00E062EB"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Information systems and recordkeeping</w:t>
            </w:r>
          </w:p>
        </w:tc>
        <w:tc>
          <w:tcPr>
            <w:tcW w:w="2469" w:type="dxa"/>
          </w:tcPr>
          <w:p w:rsidR="00E062EB" w:rsidRPr="002F3BB0" w:rsidRDefault="00E062EB" w:rsidP="00FE3111">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15.</w:t>
            </w:r>
            <w:r w:rsidR="00FE3111" w:rsidRPr="002F3BB0">
              <w:rPr>
                <w:rFonts w:eastAsia="Times New Roman" w:cstheme="minorHAnsi"/>
                <w:i w:val="0"/>
                <w:sz w:val="22"/>
                <w:szCs w:val="22"/>
                <w:lang w:eastAsia="en-AU"/>
              </w:rPr>
              <w:t>6</w:t>
            </w:r>
          </w:p>
        </w:tc>
        <w:tc>
          <w:tcPr>
            <w:cnfStyle w:val="000100000000" w:firstRow="0" w:lastRow="0" w:firstColumn="0" w:lastColumn="1" w:oddVBand="0" w:evenVBand="0" w:oddHBand="0" w:evenHBand="0" w:firstRowFirstColumn="0" w:firstRowLastColumn="0" w:lastRowFirstColumn="0" w:lastRowLastColumn="0"/>
            <w:tcW w:w="1530" w:type="dxa"/>
          </w:tcPr>
          <w:p w:rsidR="00E062EB" w:rsidRPr="00522EE6" w:rsidRDefault="00522EE6"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Page 42</w:t>
            </w:r>
          </w:p>
        </w:tc>
      </w:tr>
      <w:tr w:rsidR="003640E9" w:rsidRPr="00743D8C"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val="restart"/>
          </w:tcPr>
          <w:p w:rsidR="003640E9" w:rsidRPr="002F3BB0" w:rsidRDefault="003640E9" w:rsidP="00CC5A8E">
            <w:pPr>
              <w:spacing w:before="40" w:after="40"/>
              <w:rPr>
                <w:rFonts w:eastAsia="Times New Roman" w:cstheme="minorHAnsi"/>
                <w:bCs w:val="0"/>
                <w:i w:val="0"/>
                <w:sz w:val="22"/>
                <w:szCs w:val="22"/>
                <w:lang w:eastAsia="en-AU"/>
              </w:rPr>
            </w:pPr>
            <w:r w:rsidRPr="002F3BB0">
              <w:rPr>
                <w:rFonts w:eastAsia="Times New Roman" w:cstheme="minorHAnsi"/>
                <w:bCs w:val="0"/>
                <w:i w:val="0"/>
                <w:sz w:val="22"/>
                <w:szCs w:val="22"/>
                <w:lang w:eastAsia="en-AU"/>
              </w:rPr>
              <w:t>Governance – human resources</w:t>
            </w:r>
          </w:p>
        </w:tc>
        <w:tc>
          <w:tcPr>
            <w:cnfStyle w:val="000010000000" w:firstRow="0" w:lastRow="0" w:firstColumn="0" w:lastColumn="0" w:oddVBand="1" w:evenVBand="0" w:oddHBand="0" w:evenHBand="0" w:firstRowFirstColumn="0" w:firstRowLastColumn="0" w:lastRowFirstColumn="0" w:lastRowLastColumn="0"/>
            <w:tcW w:w="3860" w:type="dxa"/>
          </w:tcPr>
          <w:p w:rsidR="003640E9" w:rsidRPr="002F3BB0" w:rsidRDefault="003640E9"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Workforce planning, attraction and retention</w:t>
            </w:r>
            <w:r w:rsidR="00FE3111" w:rsidRPr="002F3BB0">
              <w:rPr>
                <w:rFonts w:eastAsia="Times New Roman" w:cstheme="minorHAnsi"/>
                <w:i w:val="0"/>
                <w:sz w:val="22"/>
                <w:szCs w:val="22"/>
                <w:lang w:eastAsia="en-AU"/>
              </w:rPr>
              <w:t>,</w:t>
            </w:r>
            <w:r w:rsidR="00E062EB" w:rsidRPr="002F3BB0">
              <w:rPr>
                <w:rFonts w:eastAsia="Times New Roman" w:cstheme="minorHAnsi"/>
                <w:i w:val="0"/>
                <w:sz w:val="22"/>
                <w:szCs w:val="22"/>
                <w:lang w:eastAsia="en-AU"/>
              </w:rPr>
              <w:t xml:space="preserve"> and performance</w:t>
            </w:r>
          </w:p>
        </w:tc>
        <w:tc>
          <w:tcPr>
            <w:tcW w:w="2469" w:type="dxa"/>
          </w:tcPr>
          <w:p w:rsidR="003640E9" w:rsidRPr="002F3BB0" w:rsidRDefault="00E062EB"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16</w:t>
            </w:r>
            <w:r w:rsidR="003640E9" w:rsidRPr="002F3BB0">
              <w:rPr>
                <w:rFonts w:eastAsia="Times New Roman" w:cstheme="minorHAnsi"/>
                <w:i w:val="0"/>
                <w:sz w:val="22"/>
                <w:szCs w:val="22"/>
                <w:lang w:eastAsia="en-AU"/>
              </w:rPr>
              <w:t>.1</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22EE6" w:rsidRDefault="00D55F0C"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Pa</w:t>
            </w:r>
            <w:r w:rsidR="00522EE6" w:rsidRPr="00522EE6">
              <w:rPr>
                <w:rFonts w:eastAsia="Times New Roman" w:cstheme="minorHAnsi"/>
                <w:i w:val="0"/>
                <w:sz w:val="22"/>
                <w:szCs w:val="22"/>
                <w:lang w:eastAsia="en-AU"/>
              </w:rPr>
              <w:t>ge 39</w:t>
            </w:r>
          </w:p>
        </w:tc>
      </w:tr>
      <w:tr w:rsidR="003640E9" w:rsidRPr="00743D8C" w:rsidTr="00585B86">
        <w:tc>
          <w:tcPr>
            <w:cnfStyle w:val="001000000000" w:firstRow="0" w:lastRow="0" w:firstColumn="1" w:lastColumn="0" w:oddVBand="0" w:evenVBand="0" w:oddHBand="0" w:evenHBand="0" w:firstRowFirstColumn="0" w:firstRowLastColumn="0" w:lastRowFirstColumn="0" w:lastRowLastColumn="0"/>
            <w:tcW w:w="2019" w:type="dxa"/>
            <w:vMerge/>
          </w:tcPr>
          <w:p w:rsidR="003640E9" w:rsidRPr="002F3BB0" w:rsidRDefault="003640E9" w:rsidP="00CC5A8E">
            <w:pPr>
              <w:spacing w:before="40" w:after="40"/>
              <w:rPr>
                <w:rFonts w:eastAsia="Times New Roman" w:cstheme="minorHAnsi"/>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2F3BB0" w:rsidRDefault="003640E9"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Early retirement, redundancy and retrenchment</w:t>
            </w:r>
          </w:p>
        </w:tc>
        <w:tc>
          <w:tcPr>
            <w:tcW w:w="2469" w:type="dxa"/>
          </w:tcPr>
          <w:p w:rsidR="003640E9" w:rsidRPr="002F3BB0" w:rsidRDefault="003640E9"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AU"/>
              </w:rPr>
            </w:pPr>
            <w:r w:rsidRPr="002F3BB0">
              <w:rPr>
                <w:rFonts w:eastAsia="Times New Roman" w:cstheme="minorHAnsi"/>
                <w:sz w:val="22"/>
                <w:szCs w:val="22"/>
                <w:lang w:eastAsia="en-AU"/>
              </w:rPr>
              <w:t>Directive No.1</w:t>
            </w:r>
            <w:r w:rsidR="00E062EB" w:rsidRPr="002F3BB0">
              <w:rPr>
                <w:rFonts w:eastAsia="Times New Roman" w:cstheme="minorHAnsi"/>
                <w:sz w:val="22"/>
                <w:szCs w:val="22"/>
                <w:lang w:eastAsia="en-AU"/>
              </w:rPr>
              <w:t>1</w:t>
            </w:r>
            <w:r w:rsidRPr="002F3BB0">
              <w:rPr>
                <w:rFonts w:eastAsia="Times New Roman" w:cstheme="minorHAnsi"/>
                <w:sz w:val="22"/>
                <w:szCs w:val="22"/>
                <w:lang w:eastAsia="en-AU"/>
              </w:rPr>
              <w:t>/</w:t>
            </w:r>
            <w:r w:rsidR="00E062EB" w:rsidRPr="002F3BB0">
              <w:rPr>
                <w:rFonts w:eastAsia="Times New Roman" w:cstheme="minorHAnsi"/>
                <w:sz w:val="22"/>
                <w:szCs w:val="22"/>
                <w:lang w:eastAsia="en-AU"/>
              </w:rPr>
              <w:t>12</w:t>
            </w:r>
            <w:r w:rsidRPr="002F3BB0">
              <w:rPr>
                <w:rFonts w:eastAsia="Times New Roman" w:cstheme="minorHAnsi"/>
                <w:sz w:val="22"/>
                <w:szCs w:val="22"/>
                <w:lang w:eastAsia="en-AU"/>
              </w:rPr>
              <w:t xml:space="preserve"> Early Retirement, Redundancy and Retrenchment</w:t>
            </w:r>
          </w:p>
          <w:p w:rsidR="003640E9" w:rsidRPr="002F3BB0" w:rsidRDefault="00E062EB"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16</w:t>
            </w:r>
            <w:r w:rsidR="003640E9" w:rsidRPr="002F3BB0">
              <w:rPr>
                <w:rFonts w:eastAsia="Times New Roman" w:cstheme="minorHAnsi"/>
                <w:i w:val="0"/>
                <w:sz w:val="22"/>
                <w:szCs w:val="22"/>
                <w:lang w:eastAsia="en-AU"/>
              </w:rPr>
              <w:t>.2</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22EE6" w:rsidRDefault="00522EE6"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Page 42</w:t>
            </w:r>
          </w:p>
        </w:tc>
      </w:tr>
      <w:tr w:rsidR="00E062EB" w:rsidRPr="00743D8C"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rsidR="00E062EB" w:rsidRPr="002F3BB0" w:rsidRDefault="00E062EB" w:rsidP="00CC5A8E">
            <w:pPr>
              <w:spacing w:before="40" w:after="40"/>
              <w:rPr>
                <w:rFonts w:eastAsia="Times New Roman" w:cstheme="minorHAnsi"/>
                <w:bCs w:val="0"/>
                <w:i w:val="0"/>
                <w:sz w:val="22"/>
                <w:szCs w:val="22"/>
                <w:lang w:eastAsia="en-AU"/>
              </w:rPr>
            </w:pPr>
            <w:r w:rsidRPr="002F3BB0">
              <w:rPr>
                <w:rFonts w:eastAsia="Times New Roman" w:cstheme="minorHAnsi"/>
                <w:bCs w:val="0"/>
                <w:i w:val="0"/>
                <w:sz w:val="22"/>
                <w:szCs w:val="22"/>
                <w:lang w:eastAsia="en-AU"/>
              </w:rPr>
              <w:t>Open Data</w:t>
            </w:r>
          </w:p>
        </w:tc>
        <w:tc>
          <w:tcPr>
            <w:cnfStyle w:val="000010000000" w:firstRow="0" w:lastRow="0" w:firstColumn="0" w:lastColumn="0" w:oddVBand="1" w:evenVBand="0" w:oddHBand="0" w:evenHBand="0" w:firstRowFirstColumn="0" w:firstRowLastColumn="0" w:lastRowFirstColumn="0" w:lastRowLastColumn="0"/>
            <w:tcW w:w="3860" w:type="dxa"/>
          </w:tcPr>
          <w:p w:rsidR="00E062EB" w:rsidRPr="002F3BB0" w:rsidRDefault="00E062EB"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Open Data</w:t>
            </w:r>
          </w:p>
        </w:tc>
        <w:tc>
          <w:tcPr>
            <w:tcW w:w="2469" w:type="dxa"/>
          </w:tcPr>
          <w:p w:rsidR="00E062EB" w:rsidRPr="002F3BB0" w:rsidRDefault="00E062EB"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17</w:t>
            </w:r>
          </w:p>
        </w:tc>
        <w:tc>
          <w:tcPr>
            <w:cnfStyle w:val="000100000000" w:firstRow="0" w:lastRow="0" w:firstColumn="0" w:lastColumn="1" w:oddVBand="0" w:evenVBand="0" w:oddHBand="0" w:evenHBand="0" w:firstRowFirstColumn="0" w:firstRowLastColumn="0" w:lastRowFirstColumn="0" w:lastRowLastColumn="0"/>
            <w:tcW w:w="1530" w:type="dxa"/>
          </w:tcPr>
          <w:p w:rsidR="00E062EB" w:rsidRPr="00522EE6" w:rsidRDefault="00522EE6"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Page 42</w:t>
            </w:r>
          </w:p>
        </w:tc>
      </w:tr>
      <w:tr w:rsidR="003640E9" w:rsidRPr="00743D8C" w:rsidTr="00585B86">
        <w:tc>
          <w:tcPr>
            <w:cnfStyle w:val="001000000000" w:firstRow="0" w:lastRow="0" w:firstColumn="1" w:lastColumn="0" w:oddVBand="0" w:evenVBand="0" w:oddHBand="0" w:evenHBand="0" w:firstRowFirstColumn="0" w:firstRowLastColumn="0" w:lastRowFirstColumn="0" w:lastRowLastColumn="0"/>
            <w:tcW w:w="2019" w:type="dxa"/>
            <w:vMerge w:val="restart"/>
          </w:tcPr>
          <w:p w:rsidR="003640E9" w:rsidRPr="002F3BB0" w:rsidRDefault="003640E9" w:rsidP="00CC5A8E">
            <w:pPr>
              <w:spacing w:before="40" w:after="40"/>
              <w:rPr>
                <w:rFonts w:eastAsia="Times New Roman" w:cstheme="minorHAnsi"/>
                <w:bCs w:val="0"/>
                <w:i w:val="0"/>
                <w:sz w:val="22"/>
                <w:szCs w:val="22"/>
                <w:lang w:eastAsia="en-AU"/>
              </w:rPr>
            </w:pPr>
            <w:r w:rsidRPr="002F3BB0">
              <w:rPr>
                <w:rFonts w:eastAsia="Times New Roman" w:cstheme="minorHAnsi"/>
                <w:bCs w:val="0"/>
                <w:i w:val="0"/>
                <w:sz w:val="22"/>
                <w:szCs w:val="22"/>
                <w:lang w:eastAsia="en-AU"/>
              </w:rPr>
              <w:t>Financial statements</w:t>
            </w:r>
          </w:p>
        </w:tc>
        <w:tc>
          <w:tcPr>
            <w:cnfStyle w:val="000010000000" w:firstRow="0" w:lastRow="0" w:firstColumn="0" w:lastColumn="0" w:oddVBand="1" w:evenVBand="0" w:oddHBand="0" w:evenHBand="0" w:firstRowFirstColumn="0" w:firstRowLastColumn="0" w:lastRowFirstColumn="0" w:lastRowLastColumn="0"/>
            <w:tcW w:w="3860" w:type="dxa"/>
          </w:tcPr>
          <w:p w:rsidR="003640E9" w:rsidRPr="002F3BB0" w:rsidRDefault="003640E9"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Certification of financial statements</w:t>
            </w:r>
          </w:p>
        </w:tc>
        <w:tc>
          <w:tcPr>
            <w:tcW w:w="2469" w:type="dxa"/>
          </w:tcPr>
          <w:p w:rsidR="003640E9" w:rsidRPr="002F3BB0" w:rsidRDefault="003640E9"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FAA – section 62</w:t>
            </w:r>
          </w:p>
          <w:p w:rsidR="003640E9" w:rsidRPr="002F3BB0" w:rsidRDefault="003640E9"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FPMS – sections 42, 43 and 50</w:t>
            </w:r>
          </w:p>
          <w:p w:rsidR="003640E9" w:rsidRPr="002F3BB0" w:rsidRDefault="00E062EB" w:rsidP="00CC5A8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18</w:t>
            </w:r>
            <w:r w:rsidR="003640E9" w:rsidRPr="002F3BB0">
              <w:rPr>
                <w:rFonts w:eastAsia="Times New Roman" w:cstheme="minorHAnsi"/>
                <w:i w:val="0"/>
                <w:sz w:val="22"/>
                <w:szCs w:val="22"/>
                <w:lang w:eastAsia="en-AU"/>
              </w:rPr>
              <w:t>.1</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22EE6" w:rsidRDefault="00522EE6"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Page 47</w:t>
            </w:r>
          </w:p>
          <w:p w:rsidR="00D55F0C" w:rsidRPr="00522EE6" w:rsidRDefault="00D55F0C" w:rsidP="00F10059">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 xml:space="preserve">Appendix </w:t>
            </w:r>
            <w:r w:rsidR="00F10059" w:rsidRPr="00522EE6">
              <w:rPr>
                <w:rFonts w:eastAsia="Times New Roman" w:cstheme="minorHAnsi"/>
                <w:i w:val="0"/>
                <w:sz w:val="22"/>
                <w:szCs w:val="22"/>
                <w:lang w:eastAsia="en-AU"/>
              </w:rPr>
              <w:t>H</w:t>
            </w:r>
          </w:p>
        </w:tc>
      </w:tr>
      <w:tr w:rsidR="003640E9" w:rsidRPr="00743D8C" w:rsidTr="0058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tcPr>
          <w:p w:rsidR="003640E9" w:rsidRPr="002F3BB0" w:rsidRDefault="003640E9" w:rsidP="00CC5A8E">
            <w:pPr>
              <w:spacing w:before="40" w:after="40"/>
              <w:rPr>
                <w:rFonts w:eastAsia="Times New Roman" w:cstheme="minorHAnsi"/>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2F3BB0" w:rsidRDefault="003640E9" w:rsidP="0098206F">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 xml:space="preserve">Independent </w:t>
            </w:r>
            <w:r w:rsidR="0098206F">
              <w:rPr>
                <w:rFonts w:eastAsia="Times New Roman" w:cstheme="minorHAnsi"/>
                <w:i w:val="0"/>
                <w:sz w:val="22"/>
                <w:szCs w:val="22"/>
                <w:lang w:eastAsia="en-AU"/>
              </w:rPr>
              <w:t>a</w:t>
            </w:r>
            <w:r w:rsidRPr="002F3BB0">
              <w:rPr>
                <w:rFonts w:eastAsia="Times New Roman" w:cstheme="minorHAnsi"/>
                <w:i w:val="0"/>
                <w:sz w:val="22"/>
                <w:szCs w:val="22"/>
                <w:lang w:eastAsia="en-AU"/>
              </w:rPr>
              <w:t xml:space="preserve">uditors </w:t>
            </w:r>
            <w:r w:rsidR="0098206F">
              <w:rPr>
                <w:rFonts w:eastAsia="Times New Roman" w:cstheme="minorHAnsi"/>
                <w:i w:val="0"/>
                <w:sz w:val="22"/>
                <w:szCs w:val="22"/>
                <w:lang w:eastAsia="en-AU"/>
              </w:rPr>
              <w:t>r</w:t>
            </w:r>
            <w:r w:rsidRPr="002F3BB0">
              <w:rPr>
                <w:rFonts w:eastAsia="Times New Roman" w:cstheme="minorHAnsi"/>
                <w:i w:val="0"/>
                <w:sz w:val="22"/>
                <w:szCs w:val="22"/>
                <w:lang w:eastAsia="en-AU"/>
              </w:rPr>
              <w:t>eport</w:t>
            </w:r>
          </w:p>
        </w:tc>
        <w:tc>
          <w:tcPr>
            <w:tcW w:w="2469" w:type="dxa"/>
          </w:tcPr>
          <w:p w:rsidR="003640E9" w:rsidRPr="002F3BB0" w:rsidRDefault="003640E9"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FAA – section 62</w:t>
            </w:r>
          </w:p>
          <w:p w:rsidR="003640E9" w:rsidRPr="002F3BB0" w:rsidRDefault="003640E9"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FPMS – section 50</w:t>
            </w:r>
          </w:p>
          <w:p w:rsidR="003640E9" w:rsidRPr="002F3BB0" w:rsidRDefault="003640E9" w:rsidP="00CC5A8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w:t>
            </w:r>
            <w:r w:rsidR="00E062EB" w:rsidRPr="002F3BB0">
              <w:rPr>
                <w:rFonts w:eastAsia="Times New Roman" w:cstheme="minorHAnsi"/>
                <w:i w:val="0"/>
                <w:sz w:val="22"/>
                <w:szCs w:val="22"/>
                <w:lang w:eastAsia="en-AU"/>
              </w:rPr>
              <w:t>8</w:t>
            </w:r>
            <w:r w:rsidRPr="002F3BB0">
              <w:rPr>
                <w:rFonts w:eastAsia="Times New Roman" w:cstheme="minorHAnsi"/>
                <w:i w:val="0"/>
                <w:sz w:val="22"/>
                <w:szCs w:val="22"/>
                <w:lang w:eastAsia="en-AU"/>
              </w:rPr>
              <w:t>.2</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22EE6" w:rsidRDefault="00522EE6"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Page 42</w:t>
            </w:r>
          </w:p>
          <w:p w:rsidR="00522EE6" w:rsidRPr="00522EE6" w:rsidRDefault="00522EE6" w:rsidP="00CC5A8E">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Appendix H</w:t>
            </w:r>
          </w:p>
        </w:tc>
      </w:tr>
      <w:tr w:rsidR="003640E9" w:rsidRPr="00743D8C" w:rsidTr="00585B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Merge/>
          </w:tcPr>
          <w:p w:rsidR="003640E9" w:rsidRPr="002F3BB0" w:rsidRDefault="003640E9" w:rsidP="00CC5A8E">
            <w:pPr>
              <w:spacing w:before="40" w:after="40"/>
              <w:rPr>
                <w:rFonts w:eastAsia="Times New Roman" w:cstheme="minorHAnsi"/>
                <w:b w:val="0"/>
                <w:bCs w:val="0"/>
                <w:i w:val="0"/>
                <w:sz w:val="22"/>
                <w:szCs w:val="22"/>
                <w:lang w:eastAsia="en-AU"/>
              </w:rPr>
            </w:pPr>
          </w:p>
        </w:tc>
        <w:tc>
          <w:tcPr>
            <w:cnfStyle w:val="000010000000" w:firstRow="0" w:lastRow="0" w:firstColumn="0" w:lastColumn="0" w:oddVBand="1" w:evenVBand="0" w:oddHBand="0" w:evenHBand="0" w:firstRowFirstColumn="0" w:firstRowLastColumn="0" w:lastRowFirstColumn="0" w:lastRowLastColumn="0"/>
            <w:tcW w:w="3860" w:type="dxa"/>
          </w:tcPr>
          <w:p w:rsidR="003640E9" w:rsidRPr="002F3BB0" w:rsidRDefault="003640E9" w:rsidP="0090367C">
            <w:pPr>
              <w:spacing w:before="40" w:after="40"/>
              <w:rPr>
                <w:rFonts w:eastAsia="Times New Roman" w:cstheme="minorHAnsi"/>
                <w:i w:val="0"/>
                <w:sz w:val="22"/>
                <w:szCs w:val="22"/>
                <w:lang w:eastAsia="en-AU"/>
              </w:rPr>
            </w:pPr>
            <w:r w:rsidRPr="002F3BB0">
              <w:rPr>
                <w:rFonts w:eastAsia="Times New Roman" w:cstheme="minorHAnsi"/>
                <w:i w:val="0"/>
                <w:sz w:val="22"/>
                <w:szCs w:val="22"/>
                <w:lang w:eastAsia="en-AU"/>
              </w:rPr>
              <w:t>Remuneration disclosures</w:t>
            </w:r>
          </w:p>
        </w:tc>
        <w:tc>
          <w:tcPr>
            <w:tcW w:w="2469" w:type="dxa"/>
          </w:tcPr>
          <w:p w:rsidR="003640E9" w:rsidRPr="002F3BB0" w:rsidRDefault="003640E9" w:rsidP="00CC5A8E">
            <w:pPr>
              <w:spacing w:before="40" w:after="40"/>
              <w:cnfStyle w:val="010000000000" w:firstRow="0" w:lastRow="1" w:firstColumn="0" w:lastColumn="0" w:oddVBand="0" w:evenVBand="0" w:oddHBand="0" w:evenHBand="0" w:firstRowFirstColumn="0" w:firstRowLastColumn="0" w:lastRowFirstColumn="0" w:lastRowLastColumn="0"/>
              <w:rPr>
                <w:rFonts w:eastAsia="Times New Roman" w:cstheme="minorHAnsi"/>
                <w:sz w:val="22"/>
                <w:szCs w:val="22"/>
                <w:lang w:eastAsia="en-AU"/>
              </w:rPr>
            </w:pPr>
            <w:r w:rsidRPr="002F3BB0">
              <w:rPr>
                <w:rFonts w:eastAsia="Times New Roman" w:cstheme="minorHAnsi"/>
                <w:sz w:val="22"/>
                <w:szCs w:val="22"/>
                <w:lang w:eastAsia="en-AU"/>
              </w:rPr>
              <w:t>Financial Reporting Requirements for Queensland Government Agencies</w:t>
            </w:r>
          </w:p>
          <w:p w:rsidR="003640E9" w:rsidRPr="002F3BB0" w:rsidRDefault="003640E9" w:rsidP="00CC5A8E">
            <w:pPr>
              <w:spacing w:before="40" w:after="40"/>
              <w:cnfStyle w:val="010000000000" w:firstRow="0" w:lastRow="1" w:firstColumn="0" w:lastColumn="0" w:oddVBand="0" w:evenVBand="0" w:oddHBand="0" w:evenHBand="0" w:firstRowFirstColumn="0" w:firstRowLastColumn="0" w:lastRowFirstColumn="0" w:lastRowLastColumn="0"/>
              <w:rPr>
                <w:rFonts w:eastAsia="Times New Roman" w:cstheme="minorHAnsi"/>
                <w:i w:val="0"/>
                <w:sz w:val="22"/>
                <w:szCs w:val="22"/>
                <w:lang w:eastAsia="en-AU"/>
              </w:rPr>
            </w:pPr>
            <w:r w:rsidRPr="002F3BB0">
              <w:rPr>
                <w:rFonts w:eastAsia="Times New Roman" w:cstheme="minorHAnsi"/>
                <w:i w:val="0"/>
                <w:sz w:val="22"/>
                <w:szCs w:val="22"/>
                <w:lang w:eastAsia="en-AU"/>
              </w:rPr>
              <w:t>ARRs – section 1</w:t>
            </w:r>
            <w:r w:rsidR="00E062EB" w:rsidRPr="002F3BB0">
              <w:rPr>
                <w:rFonts w:eastAsia="Times New Roman" w:cstheme="minorHAnsi"/>
                <w:i w:val="0"/>
                <w:sz w:val="22"/>
                <w:szCs w:val="22"/>
                <w:lang w:eastAsia="en-AU"/>
              </w:rPr>
              <w:t>8</w:t>
            </w:r>
            <w:r w:rsidRPr="002F3BB0">
              <w:rPr>
                <w:rFonts w:eastAsia="Times New Roman" w:cstheme="minorHAnsi"/>
                <w:i w:val="0"/>
                <w:sz w:val="22"/>
                <w:szCs w:val="22"/>
                <w:lang w:eastAsia="en-AU"/>
              </w:rPr>
              <w:t>.3</w:t>
            </w:r>
          </w:p>
        </w:tc>
        <w:tc>
          <w:tcPr>
            <w:cnfStyle w:val="000100000000" w:firstRow="0" w:lastRow="0" w:firstColumn="0" w:lastColumn="1" w:oddVBand="0" w:evenVBand="0" w:oddHBand="0" w:evenHBand="0" w:firstRowFirstColumn="0" w:firstRowLastColumn="0" w:lastRowFirstColumn="0" w:lastRowLastColumn="0"/>
            <w:tcW w:w="1530" w:type="dxa"/>
          </w:tcPr>
          <w:p w:rsidR="003640E9" w:rsidRPr="00522EE6" w:rsidRDefault="00D55F0C" w:rsidP="00F10059">
            <w:pPr>
              <w:spacing w:before="40" w:after="40"/>
              <w:jc w:val="center"/>
              <w:rPr>
                <w:rFonts w:eastAsia="Times New Roman" w:cstheme="minorHAnsi"/>
                <w:i w:val="0"/>
                <w:sz w:val="22"/>
                <w:szCs w:val="22"/>
                <w:lang w:eastAsia="en-AU"/>
              </w:rPr>
            </w:pPr>
            <w:r w:rsidRPr="00522EE6">
              <w:rPr>
                <w:rFonts w:eastAsia="Times New Roman" w:cstheme="minorHAnsi"/>
                <w:i w:val="0"/>
                <w:sz w:val="22"/>
                <w:szCs w:val="22"/>
                <w:lang w:eastAsia="en-AU"/>
              </w:rPr>
              <w:t xml:space="preserve">Appendix </w:t>
            </w:r>
            <w:r w:rsidR="00F10059" w:rsidRPr="00522EE6">
              <w:rPr>
                <w:rFonts w:eastAsia="Times New Roman" w:cstheme="minorHAnsi"/>
                <w:i w:val="0"/>
                <w:sz w:val="22"/>
                <w:szCs w:val="22"/>
                <w:lang w:eastAsia="en-AU"/>
              </w:rPr>
              <w:t>H</w:t>
            </w:r>
          </w:p>
        </w:tc>
      </w:tr>
    </w:tbl>
    <w:p w:rsidR="00B32DB1" w:rsidRPr="002F3BB0" w:rsidRDefault="00B32DB1" w:rsidP="00B32DB1">
      <w:pPr>
        <w:spacing w:after="0" w:line="240" w:lineRule="auto"/>
        <w:rPr>
          <w:rFonts w:eastAsia="Times New Roman" w:cstheme="minorHAnsi"/>
          <w:i w:val="0"/>
          <w:sz w:val="22"/>
          <w:szCs w:val="22"/>
          <w:lang w:eastAsia="en-AU"/>
        </w:rPr>
      </w:pPr>
      <w:r w:rsidRPr="005F18E1">
        <w:rPr>
          <w:rFonts w:eastAsia="Times New Roman" w:cstheme="minorHAnsi"/>
          <w:i w:val="0"/>
          <w:sz w:val="22"/>
          <w:szCs w:val="22"/>
          <w:lang w:eastAsia="en-AU"/>
        </w:rPr>
        <w:t>FA</w:t>
      </w:r>
      <w:r w:rsidRPr="002F3BB0">
        <w:rPr>
          <w:rFonts w:eastAsia="Times New Roman" w:cstheme="minorHAnsi"/>
          <w:i w:val="0"/>
          <w:sz w:val="22"/>
          <w:szCs w:val="22"/>
          <w:lang w:eastAsia="en-AU"/>
        </w:rPr>
        <w:t>A</w:t>
      </w:r>
      <w:r w:rsidRPr="002F3BB0">
        <w:rPr>
          <w:rFonts w:eastAsia="Times New Roman" w:cstheme="minorHAnsi"/>
          <w:i w:val="0"/>
          <w:sz w:val="22"/>
          <w:szCs w:val="22"/>
          <w:lang w:eastAsia="en-AU"/>
        </w:rPr>
        <w:tab/>
      </w:r>
      <w:r w:rsidRPr="002F3BB0">
        <w:rPr>
          <w:rFonts w:eastAsia="Times New Roman" w:cstheme="minorHAnsi"/>
          <w:sz w:val="22"/>
          <w:szCs w:val="22"/>
          <w:lang w:eastAsia="en-AU"/>
        </w:rPr>
        <w:t>Financial Accountability Act 2009</w:t>
      </w:r>
    </w:p>
    <w:p w:rsidR="00697040" w:rsidRPr="002F3BB0" w:rsidRDefault="00697040" w:rsidP="00B32DB1">
      <w:pPr>
        <w:spacing w:after="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FPMS</w:t>
      </w:r>
      <w:r w:rsidRPr="002F3BB0">
        <w:rPr>
          <w:rFonts w:eastAsia="Times New Roman" w:cstheme="minorHAnsi"/>
          <w:i w:val="0"/>
          <w:sz w:val="22"/>
          <w:szCs w:val="22"/>
          <w:lang w:eastAsia="en-AU"/>
        </w:rPr>
        <w:tab/>
      </w:r>
      <w:r w:rsidRPr="002F3BB0">
        <w:rPr>
          <w:rFonts w:eastAsia="Times New Roman" w:cstheme="minorHAnsi"/>
          <w:sz w:val="22"/>
          <w:szCs w:val="22"/>
          <w:lang w:eastAsia="en-AU"/>
        </w:rPr>
        <w:t>Financial and Performance Management Standard 2009</w:t>
      </w:r>
    </w:p>
    <w:p w:rsidR="00FE3111" w:rsidRPr="002F3BB0" w:rsidRDefault="00B32DB1" w:rsidP="00B32DB1">
      <w:pPr>
        <w:rPr>
          <w:rFonts w:eastAsia="Times New Roman" w:cstheme="minorHAnsi"/>
          <w:sz w:val="22"/>
          <w:szCs w:val="22"/>
          <w:lang w:eastAsia="en-AU"/>
        </w:rPr>
      </w:pPr>
      <w:r w:rsidRPr="002F3BB0">
        <w:rPr>
          <w:rFonts w:eastAsia="Times New Roman" w:cstheme="minorHAnsi"/>
          <w:i w:val="0"/>
          <w:sz w:val="22"/>
          <w:szCs w:val="22"/>
          <w:lang w:eastAsia="en-AU"/>
        </w:rPr>
        <w:t>ARRs</w:t>
      </w:r>
      <w:r w:rsidRPr="002F3BB0">
        <w:rPr>
          <w:rFonts w:eastAsia="Times New Roman" w:cstheme="minorHAnsi"/>
          <w:i w:val="0"/>
          <w:sz w:val="22"/>
          <w:szCs w:val="22"/>
          <w:lang w:eastAsia="en-AU"/>
        </w:rPr>
        <w:tab/>
      </w:r>
      <w:r w:rsidRPr="002F3BB0">
        <w:rPr>
          <w:rFonts w:eastAsia="Times New Roman" w:cstheme="minorHAnsi"/>
          <w:sz w:val="22"/>
          <w:szCs w:val="22"/>
          <w:lang w:eastAsia="en-AU"/>
        </w:rPr>
        <w:t>Annual Report Requirements for Queensland Government Agencies</w:t>
      </w:r>
    </w:p>
    <w:p w:rsidR="00FE3111" w:rsidRPr="002F3BB0" w:rsidRDefault="00FE3111">
      <w:pPr>
        <w:rPr>
          <w:rFonts w:eastAsia="Times New Roman" w:cstheme="minorHAnsi"/>
          <w:sz w:val="22"/>
          <w:szCs w:val="22"/>
          <w:lang w:eastAsia="en-AU"/>
        </w:rPr>
      </w:pPr>
      <w:r w:rsidRPr="002F3BB0">
        <w:rPr>
          <w:rFonts w:eastAsia="Times New Roman" w:cstheme="minorHAnsi"/>
          <w:sz w:val="22"/>
          <w:szCs w:val="22"/>
          <w:lang w:eastAsia="en-AU"/>
        </w:rPr>
        <w:br w:type="page"/>
      </w:r>
    </w:p>
    <w:p w:rsidR="003275D2" w:rsidRPr="002F3BB0" w:rsidRDefault="003275D2" w:rsidP="00B32DB1">
      <w:pPr>
        <w:rPr>
          <w:rFonts w:eastAsia="Times New Roman" w:cstheme="minorHAnsi"/>
          <w:i w:val="0"/>
          <w:sz w:val="22"/>
          <w:szCs w:val="22"/>
          <w:lang w:eastAsia="en-AU"/>
        </w:rPr>
      </w:pPr>
    </w:p>
    <w:p w:rsidR="008F545E" w:rsidRPr="002F3BB0" w:rsidRDefault="008F545E" w:rsidP="001D5C48">
      <w:pPr>
        <w:pStyle w:val="Heading1"/>
        <w:rPr>
          <w:rFonts w:asciiTheme="minorHAnsi" w:eastAsia="Times New Roman" w:hAnsiTheme="minorHAnsi" w:cstheme="minorHAnsi"/>
          <w:i w:val="0"/>
          <w:color w:val="auto"/>
          <w:lang w:eastAsia="en-AU"/>
        </w:rPr>
      </w:pPr>
      <w:bookmarkStart w:id="92" w:name="_Toc240787720"/>
      <w:bookmarkStart w:id="93" w:name="_Toc242069899"/>
      <w:bookmarkStart w:id="94" w:name="_Toc243284348"/>
      <w:bookmarkStart w:id="95" w:name="_Toc366487311"/>
      <w:bookmarkStart w:id="96" w:name="_Toc397345689"/>
      <w:r w:rsidRPr="002F3BB0">
        <w:rPr>
          <w:rFonts w:asciiTheme="minorHAnsi" w:eastAsia="Times New Roman" w:hAnsiTheme="minorHAnsi" w:cstheme="minorHAnsi"/>
          <w:i w:val="0"/>
          <w:color w:val="auto"/>
          <w:lang w:eastAsia="en-AU"/>
        </w:rPr>
        <w:t xml:space="preserve">Appendix </w:t>
      </w:r>
      <w:r w:rsidR="004475B5" w:rsidRPr="002F3BB0">
        <w:rPr>
          <w:rFonts w:asciiTheme="minorHAnsi" w:eastAsia="Times New Roman" w:hAnsiTheme="minorHAnsi" w:cstheme="minorHAnsi"/>
          <w:i w:val="0"/>
          <w:color w:val="auto"/>
          <w:lang w:eastAsia="en-AU"/>
        </w:rPr>
        <w:t>C</w:t>
      </w:r>
      <w:r w:rsidR="0098206F">
        <w:rPr>
          <w:rFonts w:asciiTheme="minorHAnsi" w:eastAsia="Times New Roman" w:hAnsiTheme="minorHAnsi" w:cstheme="minorHAnsi"/>
          <w:i w:val="0"/>
          <w:color w:val="auto"/>
          <w:lang w:eastAsia="en-AU"/>
        </w:rPr>
        <w:t>:</w:t>
      </w:r>
      <w:r w:rsidR="002D29F9">
        <w:rPr>
          <w:rFonts w:asciiTheme="minorHAnsi" w:eastAsia="Times New Roman" w:hAnsiTheme="minorHAnsi" w:cstheme="minorHAnsi"/>
          <w:i w:val="0"/>
          <w:color w:val="auto"/>
          <w:lang w:eastAsia="en-AU"/>
        </w:rPr>
        <w:t xml:space="preserve"> </w:t>
      </w:r>
      <w:r w:rsidRPr="002F3BB0">
        <w:rPr>
          <w:rFonts w:asciiTheme="minorHAnsi" w:eastAsia="Times New Roman" w:hAnsiTheme="minorHAnsi" w:cstheme="minorHAnsi"/>
          <w:i w:val="0"/>
          <w:color w:val="auto"/>
          <w:lang w:eastAsia="en-AU"/>
        </w:rPr>
        <w:t>Publications</w:t>
      </w:r>
      <w:bookmarkEnd w:id="92"/>
      <w:bookmarkEnd w:id="93"/>
      <w:bookmarkEnd w:id="94"/>
      <w:bookmarkEnd w:id="95"/>
      <w:bookmarkEnd w:id="96"/>
    </w:p>
    <w:p w:rsidR="006F0C54" w:rsidRPr="002F3BB0" w:rsidRDefault="006F0C54" w:rsidP="008F545E">
      <w:pPr>
        <w:spacing w:after="120" w:line="240" w:lineRule="auto"/>
        <w:rPr>
          <w:rFonts w:eastAsia="Times New Roman" w:cstheme="minorHAnsi"/>
          <w:i w:val="0"/>
          <w:sz w:val="22"/>
          <w:szCs w:val="22"/>
          <w:lang w:eastAsia="en-AU"/>
        </w:rPr>
        <w:sectPr w:rsidR="006F0C54" w:rsidRPr="002F3BB0" w:rsidSect="003E7F73">
          <w:pgSz w:w="11906" w:h="16838" w:code="9"/>
          <w:pgMar w:top="851" w:right="1133" w:bottom="1135" w:left="1134" w:header="708" w:footer="708" w:gutter="0"/>
          <w:cols w:space="720"/>
          <w:titlePg/>
          <w:docGrid w:linePitch="360"/>
        </w:sectPr>
      </w:pPr>
    </w:p>
    <w:p w:rsidR="006F0C54" w:rsidRPr="002F3BB0" w:rsidRDefault="006F0C54" w:rsidP="006F0C54">
      <w:pPr>
        <w:spacing w:after="120" w:line="240" w:lineRule="auto"/>
        <w:rPr>
          <w:rFonts w:eastAsia="Times New Roman" w:cstheme="minorHAnsi"/>
          <w:b/>
          <w:i w:val="0"/>
          <w:sz w:val="22"/>
          <w:szCs w:val="22"/>
          <w:lang w:eastAsia="en-AU"/>
        </w:rPr>
      </w:pPr>
      <w:r w:rsidRPr="002F3BB0">
        <w:rPr>
          <w:rFonts w:eastAsia="Times New Roman" w:cstheme="minorHAnsi"/>
          <w:b/>
          <w:i w:val="0"/>
          <w:sz w:val="22"/>
          <w:szCs w:val="22"/>
          <w:lang w:eastAsia="en-AU"/>
        </w:rPr>
        <w:lastRenderedPageBreak/>
        <w:t>Brochures</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10 things you should know about fair treatment in Queensland </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10 things you should know about fair treatment in Queensland  - Aboriginal and Torres Strait Islander peoples</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Getting to know the law</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Making a complaint</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Responding to a complaint</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All about conciliation conferences</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Age discrimination</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Gender identity discrimination &amp; vilification</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Impairment discrimination</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Lawful sexual activity discrimination</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Pregnancy and breastfeeding discrimination</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Racial and religious discrimination and vilification</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Racial discrimination and vilification - Aboriginal and Torres Strait Islander peoples</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Relationship status, parental status &amp; family responsibilities discrimination</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Sex discrimination</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Sexual harassment</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Sexuality discrimination and vilification</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It’s OK to complain (joint independent complaint agencies brochure, produced in multiple languages)</w:t>
      </w:r>
    </w:p>
    <w:p w:rsidR="006F0C54" w:rsidRPr="002F3BB0" w:rsidRDefault="006F0C54" w:rsidP="006F0C54">
      <w:pPr>
        <w:spacing w:after="120" w:line="240" w:lineRule="auto"/>
        <w:rPr>
          <w:rFonts w:eastAsia="Times New Roman" w:cstheme="minorHAnsi"/>
          <w:b/>
          <w:i w:val="0"/>
          <w:sz w:val="22"/>
          <w:szCs w:val="22"/>
          <w:lang w:eastAsia="en-AU"/>
        </w:rPr>
      </w:pPr>
      <w:r w:rsidRPr="002F3BB0">
        <w:rPr>
          <w:rFonts w:eastAsia="Times New Roman" w:cstheme="minorHAnsi"/>
          <w:b/>
          <w:i w:val="0"/>
          <w:sz w:val="22"/>
          <w:szCs w:val="22"/>
          <w:lang w:eastAsia="en-AU"/>
        </w:rPr>
        <w:t xml:space="preserve">Fact sheets - available from </w:t>
      </w:r>
      <w:r w:rsidR="0098206F">
        <w:rPr>
          <w:rFonts w:eastAsia="Times New Roman" w:cstheme="minorHAnsi"/>
          <w:b/>
          <w:i w:val="0"/>
          <w:sz w:val="22"/>
          <w:szCs w:val="22"/>
          <w:lang w:eastAsia="en-AU"/>
        </w:rPr>
        <w:t>the ADCQ website (www.adcq.qld.gov.au)</w:t>
      </w:r>
    </w:p>
    <w:p w:rsidR="0098206F" w:rsidRDefault="0098206F" w:rsidP="00A837E5">
      <w:pPr>
        <w:numPr>
          <w:ilvl w:val="0"/>
          <w:numId w:val="4"/>
        </w:numPr>
        <w:spacing w:after="120" w:line="240" w:lineRule="auto"/>
        <w:rPr>
          <w:rFonts w:eastAsia="Times New Roman" w:cstheme="minorHAnsi"/>
          <w:i w:val="0"/>
          <w:sz w:val="22"/>
          <w:szCs w:val="22"/>
          <w:lang w:eastAsia="en-AU"/>
        </w:rPr>
      </w:pPr>
      <w:r>
        <w:rPr>
          <w:rFonts w:eastAsia="Times New Roman" w:cstheme="minorHAnsi"/>
          <w:i w:val="0"/>
          <w:sz w:val="22"/>
          <w:szCs w:val="22"/>
          <w:lang w:eastAsia="en-AU"/>
        </w:rPr>
        <w:t xml:space="preserve">Bullying </w:t>
      </w:r>
    </w:p>
    <w:p w:rsidR="006F0C54"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Direct and indirect discrimination</w:t>
      </w:r>
    </w:p>
    <w:p w:rsidR="0098206F" w:rsidRPr="002F3BB0" w:rsidRDefault="0098206F" w:rsidP="00A837E5">
      <w:pPr>
        <w:numPr>
          <w:ilvl w:val="0"/>
          <w:numId w:val="4"/>
        </w:numPr>
        <w:spacing w:after="120" w:line="240" w:lineRule="auto"/>
        <w:rPr>
          <w:rFonts w:eastAsia="Times New Roman" w:cstheme="minorHAnsi"/>
          <w:i w:val="0"/>
          <w:sz w:val="22"/>
          <w:szCs w:val="22"/>
          <w:lang w:eastAsia="en-AU"/>
        </w:rPr>
      </w:pPr>
      <w:r>
        <w:rPr>
          <w:rFonts w:eastAsia="Times New Roman" w:cstheme="minorHAnsi"/>
          <w:i w:val="0"/>
          <w:sz w:val="22"/>
          <w:szCs w:val="22"/>
          <w:lang w:eastAsia="en-AU"/>
        </w:rPr>
        <w:t>Discrimination and religious-based schools and educational institutions</w:t>
      </w:r>
    </w:p>
    <w:p w:rsidR="006F0C54"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Exemptions </w:t>
      </w:r>
    </w:p>
    <w:p w:rsidR="0098206F" w:rsidRDefault="0098206F" w:rsidP="00A837E5">
      <w:pPr>
        <w:numPr>
          <w:ilvl w:val="0"/>
          <w:numId w:val="4"/>
        </w:numPr>
        <w:spacing w:after="120" w:line="240" w:lineRule="auto"/>
        <w:rPr>
          <w:rFonts w:eastAsia="Times New Roman" w:cstheme="minorHAnsi"/>
          <w:i w:val="0"/>
          <w:sz w:val="22"/>
          <w:szCs w:val="22"/>
          <w:lang w:eastAsia="en-AU"/>
        </w:rPr>
      </w:pPr>
      <w:r>
        <w:rPr>
          <w:rFonts w:eastAsia="Times New Roman" w:cstheme="minorHAnsi"/>
          <w:i w:val="0"/>
          <w:sz w:val="22"/>
          <w:szCs w:val="22"/>
          <w:lang w:eastAsia="en-AU"/>
        </w:rPr>
        <w:lastRenderedPageBreak/>
        <w:t>Identified positions for Aboriginal &amp; Torres Strait Islander people</w:t>
      </w:r>
    </w:p>
    <w:p w:rsidR="0098206F" w:rsidRDefault="0098206F" w:rsidP="00A837E5">
      <w:pPr>
        <w:numPr>
          <w:ilvl w:val="0"/>
          <w:numId w:val="4"/>
        </w:numPr>
        <w:spacing w:after="120" w:line="240" w:lineRule="auto"/>
        <w:rPr>
          <w:rFonts w:eastAsia="Times New Roman" w:cstheme="minorHAnsi"/>
          <w:i w:val="0"/>
          <w:sz w:val="22"/>
          <w:szCs w:val="22"/>
          <w:lang w:eastAsia="en-AU"/>
        </w:rPr>
      </w:pPr>
      <w:r>
        <w:rPr>
          <w:rFonts w:eastAsia="Times New Roman" w:cstheme="minorHAnsi"/>
          <w:i w:val="0"/>
          <w:sz w:val="22"/>
          <w:szCs w:val="22"/>
          <w:lang w:eastAsia="en-AU"/>
        </w:rPr>
        <w:t>Incapacity and work</w:t>
      </w:r>
    </w:p>
    <w:p w:rsidR="0098206F" w:rsidRPr="002F3BB0" w:rsidRDefault="0098206F" w:rsidP="00A837E5">
      <w:pPr>
        <w:numPr>
          <w:ilvl w:val="0"/>
          <w:numId w:val="4"/>
        </w:numPr>
        <w:spacing w:after="120" w:line="240" w:lineRule="auto"/>
        <w:rPr>
          <w:rFonts w:eastAsia="Times New Roman" w:cstheme="minorHAnsi"/>
          <w:i w:val="0"/>
          <w:sz w:val="22"/>
          <w:szCs w:val="22"/>
          <w:lang w:eastAsia="en-AU"/>
        </w:rPr>
      </w:pPr>
      <w:r>
        <w:rPr>
          <w:rFonts w:eastAsia="Times New Roman" w:cstheme="minorHAnsi"/>
          <w:i w:val="0"/>
          <w:sz w:val="22"/>
          <w:szCs w:val="22"/>
          <w:lang w:eastAsia="en-AU"/>
        </w:rPr>
        <w:t>Medical information and recruitment (brief and detailed versions)</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Vicarious liability </w:t>
      </w:r>
    </w:p>
    <w:p w:rsidR="006F0C54"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Victimisation</w:t>
      </w:r>
    </w:p>
    <w:p w:rsidR="0098206F" w:rsidRPr="002F3BB0" w:rsidRDefault="0098206F" w:rsidP="00A837E5">
      <w:pPr>
        <w:numPr>
          <w:ilvl w:val="0"/>
          <w:numId w:val="4"/>
        </w:numPr>
        <w:spacing w:after="120" w:line="240" w:lineRule="auto"/>
        <w:rPr>
          <w:rFonts w:eastAsia="Times New Roman" w:cstheme="minorHAnsi"/>
          <w:i w:val="0"/>
          <w:sz w:val="22"/>
          <w:szCs w:val="22"/>
          <w:lang w:eastAsia="en-AU"/>
        </w:rPr>
      </w:pPr>
      <w:r>
        <w:rPr>
          <w:rFonts w:eastAsia="Times New Roman" w:cstheme="minorHAnsi"/>
          <w:i w:val="0"/>
          <w:sz w:val="22"/>
          <w:szCs w:val="22"/>
          <w:lang w:eastAsia="en-AU"/>
        </w:rPr>
        <w:t>Vilification on the basis of race, religion, sexuality or gender identity.</w:t>
      </w:r>
    </w:p>
    <w:p w:rsidR="006F0C54" w:rsidRPr="002F3BB0" w:rsidRDefault="006F0C54" w:rsidP="006F0C54">
      <w:pPr>
        <w:spacing w:after="120" w:line="240" w:lineRule="auto"/>
        <w:rPr>
          <w:rFonts w:eastAsia="Times New Roman" w:cstheme="minorHAnsi"/>
          <w:b/>
          <w:i w:val="0"/>
          <w:sz w:val="22"/>
          <w:szCs w:val="22"/>
          <w:lang w:eastAsia="en-AU"/>
        </w:rPr>
      </w:pPr>
      <w:r w:rsidRPr="002F3BB0">
        <w:rPr>
          <w:rFonts w:eastAsia="Times New Roman" w:cstheme="minorHAnsi"/>
          <w:b/>
          <w:i w:val="0"/>
          <w:sz w:val="22"/>
          <w:szCs w:val="22"/>
          <w:lang w:eastAsia="en-AU"/>
        </w:rPr>
        <w:t xml:space="preserve">Information guides - available from </w:t>
      </w:r>
      <w:r w:rsidR="0098206F">
        <w:rPr>
          <w:rFonts w:eastAsia="Times New Roman" w:cstheme="minorHAnsi"/>
          <w:b/>
          <w:i w:val="0"/>
          <w:sz w:val="22"/>
          <w:szCs w:val="22"/>
          <w:lang w:eastAsia="en-AU"/>
        </w:rPr>
        <w:t>the ADCQ website (www.adcq.qld.gov.au)</w:t>
      </w:r>
      <w:hyperlink r:id="rId24" w:history="1"/>
      <w:r w:rsidRPr="002F3BB0">
        <w:rPr>
          <w:rFonts w:eastAsia="Times New Roman" w:cstheme="minorHAnsi"/>
          <w:b/>
          <w:i w:val="0"/>
          <w:sz w:val="22"/>
          <w:szCs w:val="22"/>
          <w:lang w:eastAsia="en-AU"/>
        </w:rPr>
        <w:t xml:space="preserve"> </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Discrimination in accommodation – guide for accommodation providers </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Discrimination in education – a guide for education providers </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Discrimination in provision of goods &amp; services – guide for service providers </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Discrimination in employment – a guide for employment providers</w:t>
      </w:r>
    </w:p>
    <w:p w:rsidR="006F0C54" w:rsidRPr="002F3BB0" w:rsidRDefault="006F0C54" w:rsidP="006F0C54">
      <w:pPr>
        <w:spacing w:after="120" w:line="240" w:lineRule="auto"/>
        <w:rPr>
          <w:rFonts w:eastAsia="Times New Roman" w:cstheme="minorHAnsi"/>
          <w:b/>
          <w:i w:val="0"/>
          <w:sz w:val="22"/>
          <w:szCs w:val="22"/>
          <w:lang w:eastAsia="en-AU"/>
        </w:rPr>
      </w:pPr>
      <w:r w:rsidRPr="002F3BB0">
        <w:rPr>
          <w:rFonts w:eastAsia="Times New Roman" w:cstheme="minorHAnsi"/>
          <w:b/>
          <w:i w:val="0"/>
          <w:sz w:val="22"/>
          <w:szCs w:val="22"/>
          <w:lang w:eastAsia="en-AU"/>
        </w:rPr>
        <w:t>Posters</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Reaching out to Aboriginal &amp; Torres Strait Islander peoples… </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General – ‘Fair treatment – the way to go!’ </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Universal Declaration of Human Rights (easy reference guide)</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Where do human rights begin? (Eleanor Roosevelt quote)</w:t>
      </w:r>
    </w:p>
    <w:p w:rsidR="006F0C54" w:rsidRPr="002F3BB0" w:rsidRDefault="006F0C54" w:rsidP="006F0C54">
      <w:pPr>
        <w:spacing w:after="120" w:line="240" w:lineRule="auto"/>
        <w:rPr>
          <w:rFonts w:eastAsia="Times New Roman" w:cstheme="minorHAnsi"/>
          <w:b/>
          <w:i w:val="0"/>
          <w:sz w:val="22"/>
          <w:szCs w:val="22"/>
          <w:lang w:eastAsia="en-AU"/>
        </w:rPr>
      </w:pPr>
      <w:r w:rsidRPr="002F3BB0">
        <w:rPr>
          <w:rFonts w:eastAsia="Times New Roman" w:cstheme="minorHAnsi"/>
          <w:b/>
          <w:i w:val="0"/>
          <w:sz w:val="22"/>
          <w:szCs w:val="22"/>
          <w:lang w:eastAsia="en-AU"/>
        </w:rPr>
        <w:t>Postcards</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Sexual harassment – ‘Are you stepping on someone’s toes?’</w:t>
      </w:r>
    </w:p>
    <w:p w:rsidR="006F0C54" w:rsidRPr="002F3BB0" w:rsidRDefault="006F0C54" w:rsidP="006F0C54">
      <w:pPr>
        <w:spacing w:after="120" w:line="240" w:lineRule="auto"/>
        <w:rPr>
          <w:rFonts w:eastAsia="Times New Roman" w:cstheme="minorHAnsi"/>
          <w:b/>
          <w:i w:val="0"/>
          <w:sz w:val="22"/>
          <w:szCs w:val="22"/>
          <w:lang w:eastAsia="en-AU"/>
        </w:rPr>
      </w:pPr>
      <w:r w:rsidRPr="002F3BB0">
        <w:rPr>
          <w:rFonts w:eastAsia="Times New Roman" w:cstheme="minorHAnsi"/>
          <w:b/>
          <w:i w:val="0"/>
          <w:sz w:val="22"/>
          <w:szCs w:val="22"/>
          <w:lang w:eastAsia="en-AU"/>
        </w:rPr>
        <w:t>Rights cards</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Aboriginal &amp; Torres Strait Islander peoples</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LGBTI community  </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Muslim community </w:t>
      </w:r>
    </w:p>
    <w:p w:rsidR="006F0C54" w:rsidRPr="002F3BB0" w:rsidRDefault="006F0C54" w:rsidP="00A837E5">
      <w:pPr>
        <w:numPr>
          <w:ilvl w:val="0"/>
          <w:numId w:val="4"/>
        </w:numPr>
        <w:spacing w:after="120" w:line="240" w:lineRule="auto"/>
        <w:rPr>
          <w:rFonts w:eastAsia="Times New Roman" w:cstheme="minorHAnsi"/>
          <w:i w:val="0"/>
          <w:sz w:val="22"/>
          <w:szCs w:val="22"/>
          <w:lang w:eastAsia="en-AU"/>
        </w:rPr>
      </w:pPr>
      <w:r w:rsidRPr="002F3BB0">
        <w:rPr>
          <w:rFonts w:eastAsia="Times New Roman" w:cstheme="minorHAnsi"/>
          <w:i w:val="0"/>
          <w:sz w:val="22"/>
          <w:szCs w:val="22"/>
          <w:lang w:eastAsia="en-AU"/>
        </w:rPr>
        <w:t xml:space="preserve">Young people </w:t>
      </w:r>
    </w:p>
    <w:p w:rsidR="00CC5A8E" w:rsidRPr="002F3BB0" w:rsidRDefault="00CC5A8E" w:rsidP="00CC5A8E">
      <w:pPr>
        <w:rPr>
          <w:lang w:eastAsia="en-AU"/>
        </w:rPr>
        <w:sectPr w:rsidR="00CC5A8E" w:rsidRPr="002F3BB0" w:rsidSect="0097114D">
          <w:type w:val="continuous"/>
          <w:pgSz w:w="11906" w:h="16838" w:code="9"/>
          <w:pgMar w:top="851" w:right="1077" w:bottom="902" w:left="1077" w:header="708" w:footer="708" w:gutter="0"/>
          <w:pgNumType w:start="0"/>
          <w:cols w:num="2" w:space="720"/>
          <w:titlePg/>
          <w:docGrid w:linePitch="360"/>
        </w:sectPr>
      </w:pPr>
    </w:p>
    <w:p w:rsidR="004475B5" w:rsidRPr="002A0F92" w:rsidRDefault="004475B5" w:rsidP="00D27A67">
      <w:pPr>
        <w:pStyle w:val="Heading1"/>
        <w:pageBreakBefore/>
        <w:rPr>
          <w:rFonts w:asciiTheme="minorHAnsi" w:eastAsia="Times New Roman" w:hAnsiTheme="minorHAnsi" w:cstheme="minorHAnsi"/>
          <w:i w:val="0"/>
          <w:color w:val="auto"/>
          <w:spacing w:val="22"/>
          <w:lang w:eastAsia="en-AU"/>
        </w:rPr>
      </w:pPr>
      <w:bookmarkStart w:id="97" w:name="_Toc366487312"/>
      <w:bookmarkStart w:id="98" w:name="_Toc397345690"/>
      <w:r w:rsidRPr="002F3BB0">
        <w:rPr>
          <w:rFonts w:asciiTheme="minorHAnsi" w:eastAsia="Times New Roman" w:hAnsiTheme="minorHAnsi" w:cstheme="minorHAnsi"/>
          <w:i w:val="0"/>
          <w:color w:val="auto"/>
          <w:spacing w:val="22"/>
          <w:lang w:eastAsia="en-AU"/>
        </w:rPr>
        <w:lastRenderedPageBreak/>
        <w:t>Appendix D</w:t>
      </w:r>
      <w:r w:rsidR="00BE4233">
        <w:rPr>
          <w:rFonts w:asciiTheme="minorHAnsi" w:eastAsia="Times New Roman" w:hAnsiTheme="minorHAnsi" w:cstheme="minorHAnsi"/>
          <w:i w:val="0"/>
          <w:color w:val="auto"/>
          <w:spacing w:val="22"/>
          <w:lang w:eastAsia="en-AU"/>
        </w:rPr>
        <w:t>:</w:t>
      </w:r>
      <w:r w:rsidR="002D29F9">
        <w:rPr>
          <w:rFonts w:asciiTheme="minorHAnsi" w:eastAsia="Times New Roman" w:hAnsiTheme="minorHAnsi" w:cstheme="minorHAnsi"/>
          <w:i w:val="0"/>
          <w:color w:val="auto"/>
          <w:spacing w:val="22"/>
          <w:lang w:eastAsia="en-AU"/>
        </w:rPr>
        <w:t xml:space="preserve"> </w:t>
      </w:r>
      <w:r w:rsidRPr="002F3BB0">
        <w:rPr>
          <w:rFonts w:asciiTheme="minorHAnsi" w:eastAsia="Times New Roman" w:hAnsiTheme="minorHAnsi" w:cstheme="minorHAnsi"/>
          <w:i w:val="0"/>
          <w:color w:val="auto"/>
          <w:spacing w:val="22"/>
          <w:lang w:eastAsia="en-AU"/>
        </w:rPr>
        <w:t>Complaint handling process</w:t>
      </w:r>
      <w:bookmarkEnd w:id="97"/>
      <w:bookmarkEnd w:id="98"/>
    </w:p>
    <w:p w:rsidR="00A510E7" w:rsidRPr="002A0F92" w:rsidRDefault="003928DB" w:rsidP="00022E35">
      <w:pPr>
        <w:jc w:val="center"/>
        <w:rPr>
          <w:rFonts w:cstheme="minorHAnsi"/>
          <w:i w:val="0"/>
          <w:sz w:val="22"/>
          <w:szCs w:val="22"/>
        </w:rPr>
      </w:pPr>
      <w:r w:rsidRPr="002A0F92">
        <w:rPr>
          <w:rFonts w:cstheme="minorHAnsi"/>
          <w:i w:val="0"/>
          <w:noProof/>
          <w:sz w:val="22"/>
          <w:szCs w:val="22"/>
          <w:lang w:eastAsia="en-AU"/>
        </w:rPr>
        <w:drawing>
          <wp:inline distT="0" distB="0" distL="0" distR="0" wp14:anchorId="3B24D3A5" wp14:editId="0ED826DA">
            <wp:extent cx="6200775" cy="6829425"/>
            <wp:effectExtent l="0" t="0" r="9525" b="0"/>
            <wp:docPr id="35" name="Picture 35" descr="Complaint handl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r="2134"/>
                    <a:stretch/>
                  </pic:blipFill>
                  <pic:spPr bwMode="auto">
                    <a:xfrm>
                      <a:off x="0" y="0"/>
                      <a:ext cx="6204775" cy="6833830"/>
                    </a:xfrm>
                    <a:prstGeom prst="rect">
                      <a:avLst/>
                    </a:prstGeom>
                    <a:noFill/>
                    <a:ln>
                      <a:noFill/>
                    </a:ln>
                    <a:extLst>
                      <a:ext uri="{53640926-AAD7-44D8-BBD7-CCE9431645EC}">
                        <a14:shadowObscured xmlns:a14="http://schemas.microsoft.com/office/drawing/2010/main"/>
                      </a:ext>
                    </a:extLst>
                  </pic:spPr>
                </pic:pic>
              </a:graphicData>
            </a:graphic>
          </wp:inline>
        </w:drawing>
      </w:r>
    </w:p>
    <w:p w:rsidR="0097114D" w:rsidRPr="002A0F92" w:rsidRDefault="0097114D">
      <w:pPr>
        <w:rPr>
          <w:rFonts w:cstheme="minorHAnsi"/>
          <w:i w:val="0"/>
          <w:sz w:val="22"/>
          <w:szCs w:val="22"/>
        </w:rPr>
        <w:sectPr w:rsidR="0097114D" w:rsidRPr="002A0F92" w:rsidSect="00824B21">
          <w:type w:val="continuous"/>
          <w:pgSz w:w="11906" w:h="16838" w:code="9"/>
          <w:pgMar w:top="851" w:right="1077" w:bottom="902" w:left="1077" w:header="708" w:footer="708" w:gutter="0"/>
          <w:pgNumType w:start="49"/>
          <w:cols w:space="720"/>
          <w:titlePg/>
          <w:docGrid w:linePitch="360"/>
        </w:sectPr>
      </w:pPr>
    </w:p>
    <w:p w:rsidR="00A510E7" w:rsidRPr="002A0F92" w:rsidRDefault="00A510E7" w:rsidP="001D5C48">
      <w:pPr>
        <w:pStyle w:val="Heading1"/>
        <w:rPr>
          <w:rFonts w:asciiTheme="minorHAnsi" w:eastAsia="Times New Roman" w:hAnsiTheme="minorHAnsi" w:cstheme="minorHAnsi"/>
          <w:i w:val="0"/>
          <w:color w:val="auto"/>
          <w:lang w:eastAsia="en-AU"/>
        </w:rPr>
      </w:pPr>
      <w:bookmarkStart w:id="99" w:name="_Toc366487313"/>
      <w:bookmarkStart w:id="100" w:name="_Toc397345691"/>
      <w:r w:rsidRPr="002F3BB0">
        <w:rPr>
          <w:rFonts w:asciiTheme="minorHAnsi" w:eastAsia="Times New Roman" w:hAnsiTheme="minorHAnsi" w:cstheme="minorHAnsi"/>
          <w:i w:val="0"/>
          <w:color w:val="auto"/>
          <w:lang w:eastAsia="en-AU"/>
        </w:rPr>
        <w:lastRenderedPageBreak/>
        <w:t>Appendix E</w:t>
      </w:r>
      <w:r w:rsidR="00BE4233">
        <w:rPr>
          <w:rFonts w:asciiTheme="minorHAnsi" w:eastAsia="Times New Roman" w:hAnsiTheme="minorHAnsi" w:cstheme="minorHAnsi"/>
          <w:i w:val="0"/>
          <w:color w:val="auto"/>
          <w:lang w:eastAsia="en-AU"/>
        </w:rPr>
        <w:t>:</w:t>
      </w:r>
      <w:r w:rsidR="00B9550E" w:rsidRPr="002F3BB0">
        <w:rPr>
          <w:rFonts w:asciiTheme="minorHAnsi" w:eastAsia="Times New Roman" w:hAnsiTheme="minorHAnsi" w:cstheme="minorHAnsi"/>
          <w:i w:val="0"/>
          <w:color w:val="auto"/>
          <w:lang w:eastAsia="en-AU"/>
        </w:rPr>
        <w:t xml:space="preserve"> Organisational structure</w:t>
      </w:r>
      <w:bookmarkEnd w:id="99"/>
      <w:bookmarkEnd w:id="100"/>
    </w:p>
    <w:p w:rsidR="0097114D" w:rsidRPr="002A0F92" w:rsidRDefault="00B9550E" w:rsidP="00022E35">
      <w:pPr>
        <w:jc w:val="center"/>
        <w:rPr>
          <w:rFonts w:cstheme="minorHAnsi"/>
          <w:i w:val="0"/>
          <w:sz w:val="22"/>
          <w:szCs w:val="22"/>
        </w:rPr>
        <w:sectPr w:rsidR="0097114D" w:rsidRPr="002A0F92" w:rsidSect="00DC654C">
          <w:pgSz w:w="16838" w:h="11906" w:orient="landscape" w:code="9"/>
          <w:pgMar w:top="1077" w:right="851" w:bottom="1077" w:left="902" w:header="709" w:footer="709" w:gutter="0"/>
          <w:cols w:space="720"/>
          <w:titlePg/>
          <w:docGrid w:linePitch="360"/>
        </w:sectPr>
      </w:pPr>
      <w:r w:rsidRPr="002A0F92">
        <w:rPr>
          <w:rFonts w:cstheme="minorHAnsi"/>
          <w:i w:val="0"/>
          <w:noProof/>
          <w:sz w:val="22"/>
          <w:szCs w:val="22"/>
          <w:lang w:eastAsia="en-AU"/>
        </w:rPr>
        <w:drawing>
          <wp:inline distT="0" distB="0" distL="0" distR="0" wp14:anchorId="15573EBB" wp14:editId="4F0E54FD">
            <wp:extent cx="7968859" cy="5365041"/>
            <wp:effectExtent l="0" t="0" r="0" b="0"/>
            <wp:docPr id="12" name="Picture 12" descr="Organisational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77484" cy="5370848"/>
                    </a:xfrm>
                    <a:prstGeom prst="rect">
                      <a:avLst/>
                    </a:prstGeom>
                    <a:noFill/>
                  </pic:spPr>
                </pic:pic>
              </a:graphicData>
            </a:graphic>
          </wp:inline>
        </w:drawing>
      </w:r>
    </w:p>
    <w:p w:rsidR="00B9550E" w:rsidRPr="002A0F92" w:rsidRDefault="00B9550E" w:rsidP="001D5C48">
      <w:pPr>
        <w:pStyle w:val="Heading1"/>
        <w:rPr>
          <w:rFonts w:asciiTheme="minorHAnsi" w:hAnsiTheme="minorHAnsi" w:cstheme="minorHAnsi"/>
          <w:b w:val="0"/>
          <w:i w:val="0"/>
          <w:color w:val="auto"/>
        </w:rPr>
      </w:pPr>
      <w:bookmarkStart w:id="101" w:name="_Toc243284345"/>
      <w:bookmarkStart w:id="102" w:name="_Toc366487314"/>
      <w:bookmarkStart w:id="103" w:name="_Toc397345692"/>
      <w:r w:rsidRPr="007826EB">
        <w:rPr>
          <w:rStyle w:val="Heading1Char"/>
          <w:rFonts w:asciiTheme="minorHAnsi" w:hAnsiTheme="minorHAnsi" w:cstheme="minorHAnsi"/>
          <w:b/>
          <w:color w:val="auto"/>
        </w:rPr>
        <w:lastRenderedPageBreak/>
        <w:t>Appendix F</w:t>
      </w:r>
      <w:r w:rsidR="00BE4233">
        <w:rPr>
          <w:rStyle w:val="Heading1Char"/>
          <w:rFonts w:asciiTheme="minorHAnsi" w:hAnsiTheme="minorHAnsi" w:cstheme="minorHAnsi"/>
          <w:b/>
          <w:color w:val="auto"/>
        </w:rPr>
        <w:t>:</w:t>
      </w:r>
      <w:bookmarkEnd w:id="101"/>
      <w:r w:rsidR="002D29F9">
        <w:rPr>
          <w:rStyle w:val="Heading1Char"/>
          <w:rFonts w:asciiTheme="minorHAnsi" w:hAnsiTheme="minorHAnsi" w:cstheme="minorHAnsi"/>
          <w:b/>
          <w:color w:val="auto"/>
        </w:rPr>
        <w:t xml:space="preserve"> </w:t>
      </w:r>
      <w:r w:rsidRPr="007826EB">
        <w:rPr>
          <w:rStyle w:val="Heading1Char"/>
          <w:rFonts w:asciiTheme="minorHAnsi" w:hAnsiTheme="minorHAnsi" w:cstheme="minorHAnsi"/>
          <w:b/>
          <w:color w:val="auto"/>
        </w:rPr>
        <w:t>Map of areas visited in 201</w:t>
      </w:r>
      <w:bookmarkEnd w:id="102"/>
      <w:bookmarkEnd w:id="103"/>
      <w:r w:rsidR="00782E88">
        <w:rPr>
          <w:rStyle w:val="Heading1Char"/>
          <w:rFonts w:asciiTheme="minorHAnsi" w:hAnsiTheme="minorHAnsi" w:cstheme="minorHAnsi"/>
          <w:b/>
          <w:color w:val="auto"/>
        </w:rPr>
        <w:t>3-14</w:t>
      </w:r>
    </w:p>
    <w:p w:rsidR="00A510E7" w:rsidRDefault="004820D7" w:rsidP="00426761">
      <w:pPr>
        <w:jc w:val="center"/>
        <w:rPr>
          <w:rFonts w:cstheme="minorHAnsi"/>
          <w:sz w:val="22"/>
          <w:szCs w:val="22"/>
        </w:rPr>
      </w:pPr>
      <w:r w:rsidRPr="00093CC9">
        <w:rPr>
          <w:noProof/>
          <w:lang w:eastAsia="en-AU"/>
        </w:rPr>
        <mc:AlternateContent>
          <mc:Choice Requires="wps">
            <w:drawing>
              <wp:anchor distT="0" distB="0" distL="114300" distR="114300" simplePos="0" relativeHeight="251714560" behindDoc="0" locked="0" layoutInCell="1" allowOverlap="1" wp14:anchorId="39ACA9C5" wp14:editId="2FF9AB9B">
                <wp:simplePos x="0" y="0"/>
                <wp:positionH relativeFrom="column">
                  <wp:posOffset>3669030</wp:posOffset>
                </wp:positionH>
                <wp:positionV relativeFrom="paragraph">
                  <wp:posOffset>2339975</wp:posOffset>
                </wp:positionV>
                <wp:extent cx="2388235" cy="1724025"/>
                <wp:effectExtent l="133350" t="95250" r="145415" b="1809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1724025"/>
                        </a:xfrm>
                        <a:prstGeom prst="rect">
                          <a:avLst/>
                        </a:prstGeom>
                        <a:solidFill>
                          <a:srgbClr val="8064A2">
                            <a:lumMod val="75000"/>
                          </a:srgbClr>
                        </a:solidFill>
                        <a:ln w="9525" cap="flat" cmpd="sng" algn="ctr">
                          <a:noFill/>
                          <a:prstDash val="soli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447D3" w:rsidRPr="007826EB" w:rsidRDefault="007447D3" w:rsidP="00D81464">
                            <w:pPr>
                              <w:tabs>
                                <w:tab w:val="left" w:pos="1701"/>
                              </w:tabs>
                              <w:spacing w:after="240"/>
                              <w:jc w:val="center"/>
                              <w:rPr>
                                <w:b/>
                                <w:i w:val="0"/>
                                <w:color w:val="FFFFFF" w:themeColor="background1"/>
                                <w:sz w:val="24"/>
                                <w:szCs w:val="24"/>
                              </w:rPr>
                            </w:pPr>
                            <w:r w:rsidRPr="007826EB">
                              <w:rPr>
                                <w:b/>
                                <w:i w:val="0"/>
                                <w:color w:val="FFFFFF" w:themeColor="background1"/>
                                <w:sz w:val="24"/>
                                <w:szCs w:val="24"/>
                              </w:rPr>
                              <w:t>North Qld</w:t>
                            </w:r>
                          </w:p>
                          <w:p w:rsidR="007447D3" w:rsidRPr="007826EB" w:rsidRDefault="007447D3" w:rsidP="006F364D">
                            <w:pPr>
                              <w:pStyle w:val="NoSpacing"/>
                              <w:spacing w:line="288" w:lineRule="auto"/>
                              <w:rPr>
                                <w:i w:val="0"/>
                                <w:color w:val="FFFFFF" w:themeColor="background1"/>
                                <w:sz w:val="24"/>
                                <w:szCs w:val="24"/>
                              </w:rPr>
                            </w:pPr>
                            <w:r w:rsidRPr="007826EB">
                              <w:rPr>
                                <w:i w:val="0"/>
                                <w:color w:val="FFFFFF" w:themeColor="background1"/>
                                <w:sz w:val="24"/>
                                <w:szCs w:val="24"/>
                              </w:rPr>
                              <w:t>Cloncurry</w:t>
                            </w:r>
                            <w:r w:rsidRPr="007826EB">
                              <w:rPr>
                                <w:i w:val="0"/>
                                <w:color w:val="FFFFFF" w:themeColor="background1"/>
                                <w:sz w:val="24"/>
                                <w:szCs w:val="24"/>
                              </w:rPr>
                              <w:tab/>
                              <w:t>Mackay</w:t>
                            </w:r>
                          </w:p>
                          <w:p w:rsidR="007447D3" w:rsidRPr="007826EB" w:rsidRDefault="007447D3" w:rsidP="006F364D">
                            <w:pPr>
                              <w:pStyle w:val="NoSpacing"/>
                              <w:spacing w:line="288" w:lineRule="auto"/>
                              <w:rPr>
                                <w:i w:val="0"/>
                                <w:color w:val="FFFFFF" w:themeColor="background1"/>
                                <w:sz w:val="24"/>
                                <w:szCs w:val="24"/>
                              </w:rPr>
                            </w:pPr>
                            <w:r w:rsidRPr="007826EB">
                              <w:rPr>
                                <w:i w:val="0"/>
                                <w:color w:val="FFFFFF" w:themeColor="background1"/>
                                <w:sz w:val="24"/>
                                <w:szCs w:val="24"/>
                              </w:rPr>
                              <w:t>Home Hill</w:t>
                            </w:r>
                            <w:r w:rsidRPr="007826EB">
                              <w:rPr>
                                <w:i w:val="0"/>
                                <w:color w:val="FFFFFF" w:themeColor="background1"/>
                                <w:sz w:val="24"/>
                                <w:szCs w:val="24"/>
                              </w:rPr>
                              <w:tab/>
                              <w:t>Charters Towers Hay Point</w:t>
                            </w:r>
                            <w:r w:rsidRPr="007826EB">
                              <w:rPr>
                                <w:i w:val="0"/>
                                <w:color w:val="FFFFFF" w:themeColor="background1"/>
                                <w:sz w:val="24"/>
                                <w:szCs w:val="24"/>
                              </w:rPr>
                              <w:tab/>
                              <w:t>Ingham</w:t>
                            </w:r>
                          </w:p>
                          <w:p w:rsidR="007447D3" w:rsidRDefault="007447D3" w:rsidP="006F364D">
                            <w:pPr>
                              <w:pStyle w:val="NoSpacing"/>
                              <w:spacing w:line="288" w:lineRule="auto"/>
                              <w:rPr>
                                <w:i w:val="0"/>
                                <w:color w:val="FFFFFF" w:themeColor="background1"/>
                                <w:sz w:val="24"/>
                                <w:szCs w:val="24"/>
                              </w:rPr>
                            </w:pPr>
                            <w:r w:rsidRPr="007826EB">
                              <w:rPr>
                                <w:i w:val="0"/>
                                <w:color w:val="FFFFFF" w:themeColor="background1"/>
                                <w:sz w:val="24"/>
                                <w:szCs w:val="24"/>
                              </w:rPr>
                              <w:t>Proserpine</w:t>
                            </w:r>
                            <w:r w:rsidRPr="007826EB">
                              <w:rPr>
                                <w:i w:val="0"/>
                                <w:color w:val="FFFFFF" w:themeColor="background1"/>
                                <w:sz w:val="24"/>
                                <w:szCs w:val="24"/>
                              </w:rPr>
                              <w:tab/>
                              <w:t>Sarina</w:t>
                            </w:r>
                            <w:r w:rsidRPr="007826EB">
                              <w:rPr>
                                <w:i w:val="0"/>
                                <w:color w:val="FFFFFF" w:themeColor="background1"/>
                                <w:sz w:val="24"/>
                                <w:szCs w:val="24"/>
                              </w:rPr>
                              <w:tab/>
                            </w:r>
                            <w:r w:rsidRPr="007826EB">
                              <w:rPr>
                                <w:i w:val="0"/>
                                <w:color w:val="FFFFFF" w:themeColor="background1"/>
                                <w:sz w:val="24"/>
                                <w:szCs w:val="24"/>
                              </w:rPr>
                              <w:tab/>
                            </w:r>
                          </w:p>
                          <w:p w:rsidR="007447D3" w:rsidRPr="007826EB" w:rsidRDefault="007447D3" w:rsidP="006F364D">
                            <w:pPr>
                              <w:pStyle w:val="NoSpacing"/>
                              <w:spacing w:line="288" w:lineRule="auto"/>
                              <w:rPr>
                                <w:i w:val="0"/>
                                <w:color w:val="FFFFFF" w:themeColor="background1"/>
                                <w:sz w:val="24"/>
                                <w:szCs w:val="24"/>
                              </w:rPr>
                            </w:pPr>
                            <w:r w:rsidRPr="007826EB">
                              <w:rPr>
                                <w:i w:val="0"/>
                                <w:color w:val="FFFFFF" w:themeColor="background1"/>
                                <w:sz w:val="24"/>
                                <w:szCs w:val="24"/>
                              </w:rPr>
                              <w:t>Ayr</w:t>
                            </w:r>
                          </w:p>
                          <w:p w:rsidR="007447D3" w:rsidRPr="007826EB" w:rsidRDefault="007447D3" w:rsidP="006F364D">
                            <w:pPr>
                              <w:pStyle w:val="NoSpacing"/>
                              <w:spacing w:line="288" w:lineRule="auto"/>
                              <w:rPr>
                                <w:i w:val="0"/>
                                <w:color w:val="FFFFFF" w:themeColor="background1"/>
                                <w:sz w:val="24"/>
                                <w:szCs w:val="24"/>
                              </w:rPr>
                            </w:pPr>
                            <w:r w:rsidRPr="007826EB">
                              <w:rPr>
                                <w:i w:val="0"/>
                                <w:color w:val="FFFFFF" w:themeColor="background1"/>
                                <w:sz w:val="24"/>
                                <w:szCs w:val="24"/>
                              </w:rPr>
                              <w:t>Townsville and surrounds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8.9pt;margin-top:184.25pt;width:188.05pt;height:13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" fillcolor="#604a7b" stroked="f">
                <v:shadow on="t" color="black" offset="0,1pt"/>
                <v:textbox>
                  <w:txbxContent>
                    <w:p w:rsidR="007447D3" w:rsidRPr="007826EB" w:rsidRDefault="007447D3" w:rsidP="00D81464">
                      <w:pPr>
                        <w:tabs>
                          <w:tab w:val="left" w:pos="1701"/>
                        </w:tabs>
                        <w:spacing w:after="240"/>
                        <w:jc w:val="center"/>
                        <w:rPr>
                          <w:b/>
                          <w:i w:val="0"/>
                          <w:color w:val="FFFFFF" w:themeColor="background1"/>
                          <w:sz w:val="24"/>
                          <w:szCs w:val="24"/>
                        </w:rPr>
                      </w:pPr>
                      <w:r w:rsidRPr="007826EB">
                        <w:rPr>
                          <w:b/>
                          <w:i w:val="0"/>
                          <w:color w:val="FFFFFF" w:themeColor="background1"/>
                          <w:sz w:val="24"/>
                          <w:szCs w:val="24"/>
                        </w:rPr>
                        <w:t>North Qld</w:t>
                      </w:r>
                    </w:p>
                    <w:p w:rsidR="007447D3" w:rsidRPr="007826EB" w:rsidRDefault="007447D3" w:rsidP="006F364D">
                      <w:pPr>
                        <w:pStyle w:val="NoSpacing"/>
                        <w:spacing w:line="288" w:lineRule="auto"/>
                        <w:rPr>
                          <w:i w:val="0"/>
                          <w:color w:val="FFFFFF" w:themeColor="background1"/>
                          <w:sz w:val="24"/>
                          <w:szCs w:val="24"/>
                        </w:rPr>
                      </w:pPr>
                      <w:r w:rsidRPr="007826EB">
                        <w:rPr>
                          <w:i w:val="0"/>
                          <w:color w:val="FFFFFF" w:themeColor="background1"/>
                          <w:sz w:val="24"/>
                          <w:szCs w:val="24"/>
                        </w:rPr>
                        <w:t>Cloncurry</w:t>
                      </w:r>
                      <w:r w:rsidRPr="007826EB">
                        <w:rPr>
                          <w:i w:val="0"/>
                          <w:color w:val="FFFFFF" w:themeColor="background1"/>
                          <w:sz w:val="24"/>
                          <w:szCs w:val="24"/>
                        </w:rPr>
                        <w:tab/>
                        <w:t>Mackay</w:t>
                      </w:r>
                    </w:p>
                    <w:p w:rsidR="007447D3" w:rsidRPr="007826EB" w:rsidRDefault="007447D3" w:rsidP="006F364D">
                      <w:pPr>
                        <w:pStyle w:val="NoSpacing"/>
                        <w:spacing w:line="288" w:lineRule="auto"/>
                        <w:rPr>
                          <w:i w:val="0"/>
                          <w:color w:val="FFFFFF" w:themeColor="background1"/>
                          <w:sz w:val="24"/>
                          <w:szCs w:val="24"/>
                        </w:rPr>
                      </w:pPr>
                      <w:r w:rsidRPr="007826EB">
                        <w:rPr>
                          <w:i w:val="0"/>
                          <w:color w:val="FFFFFF" w:themeColor="background1"/>
                          <w:sz w:val="24"/>
                          <w:szCs w:val="24"/>
                        </w:rPr>
                        <w:t>Home Hill</w:t>
                      </w:r>
                      <w:r w:rsidRPr="007826EB">
                        <w:rPr>
                          <w:i w:val="0"/>
                          <w:color w:val="FFFFFF" w:themeColor="background1"/>
                          <w:sz w:val="24"/>
                          <w:szCs w:val="24"/>
                        </w:rPr>
                        <w:tab/>
                        <w:t>Charters Towers Hay Point</w:t>
                      </w:r>
                      <w:r w:rsidRPr="007826EB">
                        <w:rPr>
                          <w:i w:val="0"/>
                          <w:color w:val="FFFFFF" w:themeColor="background1"/>
                          <w:sz w:val="24"/>
                          <w:szCs w:val="24"/>
                        </w:rPr>
                        <w:tab/>
                        <w:t>Ingham</w:t>
                      </w:r>
                    </w:p>
                    <w:p w:rsidR="007447D3" w:rsidRDefault="007447D3" w:rsidP="006F364D">
                      <w:pPr>
                        <w:pStyle w:val="NoSpacing"/>
                        <w:spacing w:line="288" w:lineRule="auto"/>
                        <w:rPr>
                          <w:i w:val="0"/>
                          <w:color w:val="FFFFFF" w:themeColor="background1"/>
                          <w:sz w:val="24"/>
                          <w:szCs w:val="24"/>
                        </w:rPr>
                      </w:pPr>
                      <w:r w:rsidRPr="007826EB">
                        <w:rPr>
                          <w:i w:val="0"/>
                          <w:color w:val="FFFFFF" w:themeColor="background1"/>
                          <w:sz w:val="24"/>
                          <w:szCs w:val="24"/>
                        </w:rPr>
                        <w:t>Proserpine</w:t>
                      </w:r>
                      <w:r w:rsidRPr="007826EB">
                        <w:rPr>
                          <w:i w:val="0"/>
                          <w:color w:val="FFFFFF" w:themeColor="background1"/>
                          <w:sz w:val="24"/>
                          <w:szCs w:val="24"/>
                        </w:rPr>
                        <w:tab/>
                        <w:t>Sarina</w:t>
                      </w:r>
                      <w:r w:rsidRPr="007826EB">
                        <w:rPr>
                          <w:i w:val="0"/>
                          <w:color w:val="FFFFFF" w:themeColor="background1"/>
                          <w:sz w:val="24"/>
                          <w:szCs w:val="24"/>
                        </w:rPr>
                        <w:tab/>
                      </w:r>
                      <w:r w:rsidRPr="007826EB">
                        <w:rPr>
                          <w:i w:val="0"/>
                          <w:color w:val="FFFFFF" w:themeColor="background1"/>
                          <w:sz w:val="24"/>
                          <w:szCs w:val="24"/>
                        </w:rPr>
                        <w:tab/>
                      </w:r>
                    </w:p>
                    <w:p w:rsidR="007447D3" w:rsidRPr="007826EB" w:rsidRDefault="007447D3" w:rsidP="006F364D">
                      <w:pPr>
                        <w:pStyle w:val="NoSpacing"/>
                        <w:spacing w:line="288" w:lineRule="auto"/>
                        <w:rPr>
                          <w:i w:val="0"/>
                          <w:color w:val="FFFFFF" w:themeColor="background1"/>
                          <w:sz w:val="24"/>
                          <w:szCs w:val="24"/>
                        </w:rPr>
                      </w:pPr>
                      <w:r w:rsidRPr="007826EB">
                        <w:rPr>
                          <w:i w:val="0"/>
                          <w:color w:val="FFFFFF" w:themeColor="background1"/>
                          <w:sz w:val="24"/>
                          <w:szCs w:val="24"/>
                        </w:rPr>
                        <w:t>Ayr</w:t>
                      </w:r>
                    </w:p>
                    <w:p w:rsidR="007447D3" w:rsidRPr="007826EB" w:rsidRDefault="007447D3" w:rsidP="006F364D">
                      <w:pPr>
                        <w:pStyle w:val="NoSpacing"/>
                        <w:spacing w:line="288" w:lineRule="auto"/>
                        <w:rPr>
                          <w:i w:val="0"/>
                          <w:color w:val="FFFFFF" w:themeColor="background1"/>
                          <w:sz w:val="24"/>
                          <w:szCs w:val="24"/>
                        </w:rPr>
                      </w:pPr>
                      <w:r w:rsidRPr="007826EB">
                        <w:rPr>
                          <w:i w:val="0"/>
                          <w:color w:val="FFFFFF" w:themeColor="background1"/>
                          <w:sz w:val="24"/>
                          <w:szCs w:val="24"/>
                        </w:rPr>
                        <w:t>Townsville and surrounds</w:t>
                      </w:r>
                    </w:p>
                  </w:txbxContent>
                </v:textbox>
              </v:shape>
            </w:pict>
          </mc:Fallback>
        </mc:AlternateContent>
      </w:r>
      <w:r w:rsidR="00683F3F">
        <w:rPr>
          <w:noProof/>
          <w:lang w:eastAsia="en-AU"/>
        </w:rPr>
        <mc:AlternateContent>
          <mc:Choice Requires="wps">
            <w:drawing>
              <wp:anchor distT="0" distB="0" distL="114300" distR="114300" simplePos="0" relativeHeight="251715584" behindDoc="0" locked="0" layoutInCell="1" allowOverlap="1" wp14:anchorId="78679C28" wp14:editId="39DE9082">
                <wp:simplePos x="0" y="0"/>
                <wp:positionH relativeFrom="column">
                  <wp:posOffset>2945130</wp:posOffset>
                </wp:positionH>
                <wp:positionV relativeFrom="paragraph">
                  <wp:posOffset>35560</wp:posOffset>
                </wp:positionV>
                <wp:extent cx="2647315" cy="1809750"/>
                <wp:effectExtent l="133350" t="114300" r="153035" b="1714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809750"/>
                        </a:xfrm>
                        <a:prstGeom prst="rect">
                          <a:avLst/>
                        </a:prstGeom>
                        <a:solidFill>
                          <a:srgbClr val="604A7B"/>
                        </a:solidFill>
                        <a:ln>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rsidR="007447D3" w:rsidRPr="007826EB" w:rsidRDefault="007447D3" w:rsidP="00D81464">
                            <w:pPr>
                              <w:spacing w:after="240"/>
                              <w:jc w:val="center"/>
                              <w:rPr>
                                <w:b/>
                                <w:i w:val="0"/>
                                <w:color w:val="FFFFFF" w:themeColor="background1"/>
                                <w:sz w:val="24"/>
                                <w:szCs w:val="24"/>
                              </w:rPr>
                            </w:pPr>
                            <w:r w:rsidRPr="007826EB">
                              <w:rPr>
                                <w:b/>
                                <w:i w:val="0"/>
                                <w:color w:val="FFFFFF" w:themeColor="background1"/>
                                <w:sz w:val="24"/>
                                <w:szCs w:val="24"/>
                              </w:rPr>
                              <w:t>Far North Qld</w:t>
                            </w:r>
                          </w:p>
                          <w:p w:rsidR="007447D3" w:rsidRPr="007826EB" w:rsidRDefault="007447D3" w:rsidP="006F364D">
                            <w:pPr>
                              <w:tabs>
                                <w:tab w:val="left" w:pos="2127"/>
                              </w:tabs>
                              <w:spacing w:after="0"/>
                              <w:rPr>
                                <w:i w:val="0"/>
                                <w:color w:val="FFFFFF" w:themeColor="background1"/>
                                <w:sz w:val="24"/>
                                <w:szCs w:val="24"/>
                              </w:rPr>
                            </w:pPr>
                            <w:r>
                              <w:rPr>
                                <w:i w:val="0"/>
                                <w:color w:val="FFFFFF" w:themeColor="background1"/>
                                <w:sz w:val="24"/>
                                <w:szCs w:val="24"/>
                              </w:rPr>
                              <w:t>Mourilyan</w:t>
                            </w:r>
                            <w:r>
                              <w:rPr>
                                <w:i w:val="0"/>
                                <w:color w:val="FFFFFF" w:themeColor="background1"/>
                                <w:sz w:val="24"/>
                                <w:szCs w:val="24"/>
                              </w:rPr>
                              <w:tab/>
                            </w:r>
                            <w:r w:rsidRPr="007826EB">
                              <w:rPr>
                                <w:i w:val="0"/>
                                <w:color w:val="FFFFFF" w:themeColor="background1"/>
                                <w:sz w:val="24"/>
                                <w:szCs w:val="24"/>
                              </w:rPr>
                              <w:t>Mt Isa</w:t>
                            </w:r>
                          </w:p>
                          <w:p w:rsidR="007447D3" w:rsidRPr="007826EB" w:rsidRDefault="007447D3" w:rsidP="006F364D">
                            <w:pPr>
                              <w:pStyle w:val="NoSpacing"/>
                              <w:tabs>
                                <w:tab w:val="left" w:pos="2127"/>
                              </w:tabs>
                              <w:spacing w:line="288" w:lineRule="auto"/>
                              <w:rPr>
                                <w:i w:val="0"/>
                                <w:color w:val="FFFFFF" w:themeColor="background1"/>
                                <w:sz w:val="24"/>
                                <w:szCs w:val="24"/>
                              </w:rPr>
                            </w:pPr>
                            <w:r w:rsidRPr="007826EB">
                              <w:rPr>
                                <w:i w:val="0"/>
                                <w:color w:val="FFFFFF" w:themeColor="background1"/>
                                <w:sz w:val="24"/>
                                <w:szCs w:val="24"/>
                              </w:rPr>
                              <w:t xml:space="preserve">Yarrabah   </w:t>
                            </w:r>
                            <w:r w:rsidRPr="007826EB">
                              <w:rPr>
                                <w:i w:val="0"/>
                                <w:color w:val="FFFFFF" w:themeColor="background1"/>
                                <w:sz w:val="24"/>
                                <w:szCs w:val="24"/>
                              </w:rPr>
                              <w:tab/>
                              <w:t>Cardwell</w:t>
                            </w:r>
                            <w:r w:rsidRPr="007826EB">
                              <w:rPr>
                                <w:i w:val="0"/>
                                <w:color w:val="FFFFFF" w:themeColor="background1"/>
                                <w:sz w:val="24"/>
                                <w:szCs w:val="24"/>
                              </w:rPr>
                              <w:tab/>
                            </w:r>
                          </w:p>
                          <w:p w:rsidR="007447D3" w:rsidRDefault="007447D3" w:rsidP="006F364D">
                            <w:pPr>
                              <w:pStyle w:val="NoSpacing"/>
                              <w:tabs>
                                <w:tab w:val="left" w:pos="2127"/>
                              </w:tabs>
                              <w:spacing w:line="288" w:lineRule="auto"/>
                              <w:rPr>
                                <w:i w:val="0"/>
                                <w:color w:val="FFFFFF" w:themeColor="background1"/>
                                <w:sz w:val="24"/>
                                <w:szCs w:val="24"/>
                              </w:rPr>
                            </w:pPr>
                            <w:r w:rsidRPr="007826EB">
                              <w:rPr>
                                <w:i w:val="0"/>
                                <w:color w:val="FFFFFF" w:themeColor="background1"/>
                                <w:sz w:val="24"/>
                                <w:szCs w:val="24"/>
                              </w:rPr>
                              <w:t>South Johnstone</w:t>
                            </w:r>
                            <w:r w:rsidRPr="007826EB">
                              <w:rPr>
                                <w:i w:val="0"/>
                                <w:color w:val="FFFFFF" w:themeColor="background1"/>
                                <w:sz w:val="24"/>
                                <w:szCs w:val="24"/>
                              </w:rPr>
                              <w:tab/>
                            </w:r>
                            <w:r>
                              <w:rPr>
                                <w:i w:val="0"/>
                                <w:color w:val="FFFFFF" w:themeColor="background1"/>
                                <w:sz w:val="24"/>
                                <w:szCs w:val="24"/>
                              </w:rPr>
                              <w:t>Mossman</w:t>
                            </w:r>
                          </w:p>
                          <w:p w:rsidR="007447D3" w:rsidRPr="00683F3F" w:rsidRDefault="007447D3" w:rsidP="006F364D">
                            <w:pPr>
                              <w:pStyle w:val="NoSpacing"/>
                              <w:spacing w:line="288" w:lineRule="auto"/>
                              <w:rPr>
                                <w:i w:val="0"/>
                                <w:color w:val="FFFFFF" w:themeColor="background1"/>
                                <w:sz w:val="24"/>
                                <w:szCs w:val="24"/>
                              </w:rPr>
                            </w:pPr>
                            <w:r>
                              <w:rPr>
                                <w:i w:val="0"/>
                                <w:color w:val="FFFFFF" w:themeColor="background1"/>
                                <w:sz w:val="24"/>
                                <w:szCs w:val="24"/>
                              </w:rPr>
                              <w:t>Innisfail</w:t>
                            </w:r>
                            <w:r>
                              <w:rPr>
                                <w:i w:val="0"/>
                                <w:color w:val="FFFFFF" w:themeColor="background1"/>
                                <w:sz w:val="24"/>
                                <w:szCs w:val="24"/>
                              </w:rPr>
                              <w:tab/>
                            </w:r>
                            <w:r>
                              <w:rPr>
                                <w:i w:val="0"/>
                                <w:color w:val="FFFFFF" w:themeColor="background1"/>
                                <w:sz w:val="24"/>
                                <w:szCs w:val="24"/>
                              </w:rPr>
                              <w:tab/>
                              <w:t>Mareeba Atherton</w:t>
                            </w:r>
                          </w:p>
                          <w:p w:rsidR="007447D3" w:rsidRDefault="007447D3" w:rsidP="006F364D">
                            <w:pPr>
                              <w:tabs>
                                <w:tab w:val="left" w:pos="2410"/>
                              </w:tabs>
                              <w:spacing w:after="0"/>
                              <w:rPr>
                                <w:i w:val="0"/>
                                <w:color w:val="FFFFFF" w:themeColor="background1"/>
                                <w:sz w:val="24"/>
                                <w:szCs w:val="24"/>
                              </w:rPr>
                            </w:pPr>
                            <w:r w:rsidRPr="00683F3F">
                              <w:rPr>
                                <w:i w:val="0"/>
                                <w:color w:val="FFFFFF" w:themeColor="background1"/>
                                <w:sz w:val="24"/>
                                <w:szCs w:val="24"/>
                              </w:rPr>
                              <w:t>Cairns and surrounds</w:t>
                            </w:r>
                          </w:p>
                          <w:p w:rsidR="007447D3" w:rsidRPr="007826EB" w:rsidRDefault="007447D3" w:rsidP="00D81464">
                            <w:pPr>
                              <w:tabs>
                                <w:tab w:val="left" w:pos="2410"/>
                              </w:tabs>
                              <w:spacing w:after="40"/>
                              <w:jc w:val="center"/>
                              <w:rPr>
                                <w:i w:val="0"/>
                                <w:color w:val="FFFFFF" w:themeColor="background1"/>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231.9pt;margin-top:2.8pt;width:208.4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" fillcolor="#604a7b" stroked="f">
                <v:shadow on="t" color="black" offset="0,1pt"/>
                <v:textbox>
                  <w:txbxContent>
                    <w:p w:rsidR="007447D3" w:rsidRPr="007826EB" w:rsidRDefault="007447D3" w:rsidP="00D81464">
                      <w:pPr>
                        <w:spacing w:after="240"/>
                        <w:jc w:val="center"/>
                        <w:rPr>
                          <w:b/>
                          <w:i w:val="0"/>
                          <w:color w:val="FFFFFF" w:themeColor="background1"/>
                          <w:sz w:val="24"/>
                          <w:szCs w:val="24"/>
                        </w:rPr>
                      </w:pPr>
                      <w:r w:rsidRPr="007826EB">
                        <w:rPr>
                          <w:b/>
                          <w:i w:val="0"/>
                          <w:color w:val="FFFFFF" w:themeColor="background1"/>
                          <w:sz w:val="24"/>
                          <w:szCs w:val="24"/>
                        </w:rPr>
                        <w:t>Far North Qld</w:t>
                      </w:r>
                    </w:p>
                    <w:p w:rsidR="007447D3" w:rsidRPr="007826EB" w:rsidRDefault="007447D3" w:rsidP="006F364D">
                      <w:pPr>
                        <w:tabs>
                          <w:tab w:val="left" w:pos="2127"/>
                        </w:tabs>
                        <w:spacing w:after="0"/>
                        <w:rPr>
                          <w:i w:val="0"/>
                          <w:color w:val="FFFFFF" w:themeColor="background1"/>
                          <w:sz w:val="24"/>
                          <w:szCs w:val="24"/>
                        </w:rPr>
                      </w:pPr>
                      <w:r>
                        <w:rPr>
                          <w:i w:val="0"/>
                          <w:color w:val="FFFFFF" w:themeColor="background1"/>
                          <w:sz w:val="24"/>
                          <w:szCs w:val="24"/>
                        </w:rPr>
                        <w:t>Mourilyan</w:t>
                      </w:r>
                      <w:r>
                        <w:rPr>
                          <w:i w:val="0"/>
                          <w:color w:val="FFFFFF" w:themeColor="background1"/>
                          <w:sz w:val="24"/>
                          <w:szCs w:val="24"/>
                        </w:rPr>
                        <w:tab/>
                      </w:r>
                      <w:r w:rsidRPr="007826EB">
                        <w:rPr>
                          <w:i w:val="0"/>
                          <w:color w:val="FFFFFF" w:themeColor="background1"/>
                          <w:sz w:val="24"/>
                          <w:szCs w:val="24"/>
                        </w:rPr>
                        <w:t>Mt Isa</w:t>
                      </w:r>
                    </w:p>
                    <w:p w:rsidR="007447D3" w:rsidRPr="007826EB" w:rsidRDefault="007447D3" w:rsidP="006F364D">
                      <w:pPr>
                        <w:pStyle w:val="NoSpacing"/>
                        <w:tabs>
                          <w:tab w:val="left" w:pos="2127"/>
                        </w:tabs>
                        <w:spacing w:line="288" w:lineRule="auto"/>
                        <w:rPr>
                          <w:i w:val="0"/>
                          <w:color w:val="FFFFFF" w:themeColor="background1"/>
                          <w:sz w:val="24"/>
                          <w:szCs w:val="24"/>
                        </w:rPr>
                      </w:pPr>
                      <w:r w:rsidRPr="007826EB">
                        <w:rPr>
                          <w:i w:val="0"/>
                          <w:color w:val="FFFFFF" w:themeColor="background1"/>
                          <w:sz w:val="24"/>
                          <w:szCs w:val="24"/>
                        </w:rPr>
                        <w:t xml:space="preserve">Yarrabah   </w:t>
                      </w:r>
                      <w:r w:rsidRPr="007826EB">
                        <w:rPr>
                          <w:i w:val="0"/>
                          <w:color w:val="FFFFFF" w:themeColor="background1"/>
                          <w:sz w:val="24"/>
                          <w:szCs w:val="24"/>
                        </w:rPr>
                        <w:tab/>
                        <w:t>Cardwell</w:t>
                      </w:r>
                      <w:r w:rsidRPr="007826EB">
                        <w:rPr>
                          <w:i w:val="0"/>
                          <w:color w:val="FFFFFF" w:themeColor="background1"/>
                          <w:sz w:val="24"/>
                          <w:szCs w:val="24"/>
                        </w:rPr>
                        <w:tab/>
                      </w:r>
                    </w:p>
                    <w:p w:rsidR="007447D3" w:rsidRDefault="007447D3" w:rsidP="006F364D">
                      <w:pPr>
                        <w:pStyle w:val="NoSpacing"/>
                        <w:tabs>
                          <w:tab w:val="left" w:pos="2127"/>
                        </w:tabs>
                        <w:spacing w:line="288" w:lineRule="auto"/>
                        <w:rPr>
                          <w:i w:val="0"/>
                          <w:color w:val="FFFFFF" w:themeColor="background1"/>
                          <w:sz w:val="24"/>
                          <w:szCs w:val="24"/>
                        </w:rPr>
                      </w:pPr>
                      <w:r w:rsidRPr="007826EB">
                        <w:rPr>
                          <w:i w:val="0"/>
                          <w:color w:val="FFFFFF" w:themeColor="background1"/>
                          <w:sz w:val="24"/>
                          <w:szCs w:val="24"/>
                        </w:rPr>
                        <w:t>South Johnstone</w:t>
                      </w:r>
                      <w:r w:rsidRPr="007826EB">
                        <w:rPr>
                          <w:i w:val="0"/>
                          <w:color w:val="FFFFFF" w:themeColor="background1"/>
                          <w:sz w:val="24"/>
                          <w:szCs w:val="24"/>
                        </w:rPr>
                        <w:tab/>
                      </w:r>
                      <w:r>
                        <w:rPr>
                          <w:i w:val="0"/>
                          <w:color w:val="FFFFFF" w:themeColor="background1"/>
                          <w:sz w:val="24"/>
                          <w:szCs w:val="24"/>
                        </w:rPr>
                        <w:t>Mossman</w:t>
                      </w:r>
                    </w:p>
                    <w:p w:rsidR="007447D3" w:rsidRPr="00683F3F" w:rsidRDefault="007447D3" w:rsidP="006F364D">
                      <w:pPr>
                        <w:pStyle w:val="NoSpacing"/>
                        <w:spacing w:line="288" w:lineRule="auto"/>
                        <w:rPr>
                          <w:i w:val="0"/>
                          <w:color w:val="FFFFFF" w:themeColor="background1"/>
                          <w:sz w:val="24"/>
                          <w:szCs w:val="24"/>
                        </w:rPr>
                      </w:pPr>
                      <w:r>
                        <w:rPr>
                          <w:i w:val="0"/>
                          <w:color w:val="FFFFFF" w:themeColor="background1"/>
                          <w:sz w:val="24"/>
                          <w:szCs w:val="24"/>
                        </w:rPr>
                        <w:t>Innisfail</w:t>
                      </w:r>
                      <w:r>
                        <w:rPr>
                          <w:i w:val="0"/>
                          <w:color w:val="FFFFFF" w:themeColor="background1"/>
                          <w:sz w:val="24"/>
                          <w:szCs w:val="24"/>
                        </w:rPr>
                        <w:tab/>
                      </w:r>
                      <w:r>
                        <w:rPr>
                          <w:i w:val="0"/>
                          <w:color w:val="FFFFFF" w:themeColor="background1"/>
                          <w:sz w:val="24"/>
                          <w:szCs w:val="24"/>
                        </w:rPr>
                        <w:tab/>
                        <w:t>Mareeba Atherton</w:t>
                      </w:r>
                    </w:p>
                    <w:p w:rsidR="007447D3" w:rsidRDefault="007447D3" w:rsidP="006F364D">
                      <w:pPr>
                        <w:tabs>
                          <w:tab w:val="left" w:pos="2410"/>
                        </w:tabs>
                        <w:spacing w:after="0"/>
                        <w:rPr>
                          <w:i w:val="0"/>
                          <w:color w:val="FFFFFF" w:themeColor="background1"/>
                          <w:sz w:val="24"/>
                          <w:szCs w:val="24"/>
                        </w:rPr>
                      </w:pPr>
                      <w:r w:rsidRPr="00683F3F">
                        <w:rPr>
                          <w:i w:val="0"/>
                          <w:color w:val="FFFFFF" w:themeColor="background1"/>
                          <w:sz w:val="24"/>
                          <w:szCs w:val="24"/>
                        </w:rPr>
                        <w:t>Cairns and surrounds</w:t>
                      </w:r>
                    </w:p>
                    <w:p w:rsidR="007447D3" w:rsidRPr="007826EB" w:rsidRDefault="007447D3" w:rsidP="00D81464">
                      <w:pPr>
                        <w:tabs>
                          <w:tab w:val="left" w:pos="2410"/>
                        </w:tabs>
                        <w:spacing w:after="40"/>
                        <w:jc w:val="center"/>
                        <w:rPr>
                          <w:i w:val="0"/>
                          <w:color w:val="FFFFFF" w:themeColor="background1"/>
                          <w:sz w:val="24"/>
                          <w:szCs w:val="24"/>
                        </w:rPr>
                      </w:pPr>
                    </w:p>
                  </w:txbxContent>
                </v:textbox>
              </v:shape>
            </w:pict>
          </mc:Fallback>
        </mc:AlternateContent>
      </w:r>
      <w:r w:rsidR="00D81464" w:rsidRPr="00093CC9">
        <w:rPr>
          <w:noProof/>
          <w:lang w:eastAsia="en-AU"/>
        </w:rPr>
        <mc:AlternateContent>
          <mc:Choice Requires="wps">
            <w:drawing>
              <wp:anchor distT="0" distB="0" distL="114300" distR="114300" simplePos="0" relativeHeight="251705344" behindDoc="0" locked="0" layoutInCell="1" allowOverlap="1" wp14:anchorId="2A5AAD4F" wp14:editId="73B7809E">
                <wp:simplePos x="0" y="0"/>
                <wp:positionH relativeFrom="column">
                  <wp:posOffset>2726889</wp:posOffset>
                </wp:positionH>
                <wp:positionV relativeFrom="paragraph">
                  <wp:posOffset>6613525</wp:posOffset>
                </wp:positionV>
                <wp:extent cx="2388358" cy="2224026"/>
                <wp:effectExtent l="133350" t="114300" r="145415" b="1765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58" cy="2224026"/>
                        </a:xfrm>
                        <a:prstGeom prst="rect">
                          <a:avLst/>
                        </a:prstGeom>
                        <a:solidFill>
                          <a:srgbClr val="8064A2">
                            <a:lumMod val="75000"/>
                          </a:srgbClr>
                        </a:solidFill>
                        <a:ln w="9525" cap="flat" cmpd="sng" algn="ctr">
                          <a:noFill/>
                          <a:prstDash val="soli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447D3" w:rsidRPr="007826EB" w:rsidRDefault="007447D3" w:rsidP="00D81464">
                            <w:pPr>
                              <w:spacing w:after="240"/>
                              <w:jc w:val="center"/>
                              <w:rPr>
                                <w:b/>
                                <w:i w:val="0"/>
                                <w:color w:val="FFFFFF" w:themeColor="background1"/>
                                <w:sz w:val="24"/>
                                <w:szCs w:val="24"/>
                              </w:rPr>
                            </w:pPr>
                            <w:r w:rsidRPr="007826EB">
                              <w:rPr>
                                <w:b/>
                                <w:i w:val="0"/>
                                <w:color w:val="FFFFFF" w:themeColor="background1"/>
                                <w:sz w:val="24"/>
                                <w:szCs w:val="24"/>
                              </w:rPr>
                              <w:t>South East Qld</w:t>
                            </w:r>
                          </w:p>
                          <w:p w:rsidR="007447D3" w:rsidRPr="007826EB" w:rsidRDefault="007447D3" w:rsidP="006F364D">
                            <w:pPr>
                              <w:tabs>
                                <w:tab w:val="left" w:pos="1985"/>
                              </w:tabs>
                              <w:spacing w:after="0"/>
                              <w:rPr>
                                <w:i w:val="0"/>
                                <w:color w:val="FFFFFF" w:themeColor="background1"/>
                                <w:sz w:val="24"/>
                                <w:szCs w:val="24"/>
                              </w:rPr>
                            </w:pPr>
                            <w:r w:rsidRPr="007826EB">
                              <w:rPr>
                                <w:i w:val="0"/>
                                <w:color w:val="FFFFFF" w:themeColor="background1"/>
                                <w:sz w:val="24"/>
                                <w:szCs w:val="24"/>
                              </w:rPr>
                              <w:t>Tara</w:t>
                            </w:r>
                            <w:r w:rsidRPr="007826EB">
                              <w:rPr>
                                <w:i w:val="0"/>
                                <w:color w:val="FFFFFF" w:themeColor="background1"/>
                                <w:sz w:val="24"/>
                                <w:szCs w:val="24"/>
                              </w:rPr>
                              <w:tab/>
                              <w:t>Redcliffe</w:t>
                            </w:r>
                          </w:p>
                          <w:p w:rsidR="007447D3" w:rsidRPr="007826EB" w:rsidRDefault="007447D3" w:rsidP="006F364D">
                            <w:pPr>
                              <w:tabs>
                                <w:tab w:val="left" w:pos="1985"/>
                              </w:tabs>
                              <w:spacing w:after="0"/>
                              <w:rPr>
                                <w:i w:val="0"/>
                                <w:color w:val="FFFFFF" w:themeColor="background1"/>
                                <w:sz w:val="24"/>
                                <w:szCs w:val="24"/>
                              </w:rPr>
                            </w:pPr>
                            <w:r w:rsidRPr="007826EB">
                              <w:rPr>
                                <w:i w:val="0"/>
                                <w:color w:val="FFFFFF" w:themeColor="background1"/>
                                <w:sz w:val="24"/>
                                <w:szCs w:val="24"/>
                              </w:rPr>
                              <w:t>Sunshine Coast</w:t>
                            </w:r>
                            <w:r w:rsidRPr="007826EB">
                              <w:rPr>
                                <w:i w:val="0"/>
                                <w:color w:val="FFFFFF" w:themeColor="background1"/>
                                <w:sz w:val="24"/>
                                <w:szCs w:val="24"/>
                              </w:rPr>
                              <w:tab/>
                              <w:t>Caboolture</w:t>
                            </w:r>
                          </w:p>
                          <w:p w:rsidR="007447D3" w:rsidRPr="007826EB" w:rsidRDefault="007447D3" w:rsidP="006F364D">
                            <w:pPr>
                              <w:tabs>
                                <w:tab w:val="left" w:pos="1985"/>
                              </w:tabs>
                              <w:spacing w:after="0"/>
                              <w:rPr>
                                <w:i w:val="0"/>
                                <w:color w:val="FFFFFF" w:themeColor="background1"/>
                                <w:sz w:val="24"/>
                                <w:szCs w:val="24"/>
                              </w:rPr>
                            </w:pPr>
                            <w:r w:rsidRPr="007826EB">
                              <w:rPr>
                                <w:i w:val="0"/>
                                <w:color w:val="FFFFFF" w:themeColor="background1"/>
                                <w:sz w:val="24"/>
                                <w:szCs w:val="24"/>
                              </w:rPr>
                              <w:t>Gatton</w:t>
                            </w:r>
                            <w:r w:rsidRPr="007826EB">
                              <w:rPr>
                                <w:i w:val="0"/>
                                <w:color w:val="FFFFFF" w:themeColor="background1"/>
                                <w:sz w:val="24"/>
                                <w:szCs w:val="24"/>
                              </w:rPr>
                              <w:tab/>
                              <w:t xml:space="preserve">Gold Coast </w:t>
                            </w:r>
                          </w:p>
                          <w:p w:rsidR="007447D3" w:rsidRPr="007826EB" w:rsidRDefault="007447D3" w:rsidP="006F364D">
                            <w:pPr>
                              <w:tabs>
                                <w:tab w:val="left" w:pos="1985"/>
                              </w:tabs>
                              <w:spacing w:after="0"/>
                              <w:rPr>
                                <w:i w:val="0"/>
                                <w:color w:val="FFFFFF" w:themeColor="background1"/>
                                <w:sz w:val="24"/>
                                <w:szCs w:val="24"/>
                              </w:rPr>
                            </w:pPr>
                            <w:r w:rsidRPr="007826EB">
                              <w:rPr>
                                <w:i w:val="0"/>
                                <w:color w:val="FFFFFF" w:themeColor="background1"/>
                                <w:sz w:val="24"/>
                                <w:szCs w:val="24"/>
                              </w:rPr>
                              <w:t>Gympie</w:t>
                            </w:r>
                            <w:r w:rsidRPr="007826EB">
                              <w:rPr>
                                <w:i w:val="0"/>
                                <w:color w:val="FFFFFF" w:themeColor="background1"/>
                                <w:sz w:val="24"/>
                                <w:szCs w:val="24"/>
                              </w:rPr>
                              <w:tab/>
                              <w:t>Toowoomba</w:t>
                            </w:r>
                          </w:p>
                          <w:p w:rsidR="007447D3" w:rsidRPr="007826EB" w:rsidRDefault="007447D3" w:rsidP="006F364D">
                            <w:pPr>
                              <w:tabs>
                                <w:tab w:val="left" w:pos="1985"/>
                              </w:tabs>
                              <w:spacing w:after="0"/>
                              <w:rPr>
                                <w:i w:val="0"/>
                                <w:color w:val="FFFFFF" w:themeColor="background1"/>
                                <w:sz w:val="24"/>
                                <w:szCs w:val="24"/>
                              </w:rPr>
                            </w:pPr>
                            <w:r w:rsidRPr="007826EB">
                              <w:rPr>
                                <w:i w:val="0"/>
                                <w:color w:val="FFFFFF" w:themeColor="background1"/>
                                <w:sz w:val="24"/>
                                <w:szCs w:val="24"/>
                              </w:rPr>
                              <w:t>Dalby</w:t>
                            </w:r>
                            <w:r w:rsidRPr="007826EB">
                              <w:rPr>
                                <w:i w:val="0"/>
                                <w:color w:val="FFFFFF" w:themeColor="background1"/>
                                <w:sz w:val="24"/>
                                <w:szCs w:val="24"/>
                              </w:rPr>
                              <w:tab/>
                              <w:t>Logan</w:t>
                            </w:r>
                          </w:p>
                          <w:p w:rsidR="007447D3" w:rsidRPr="007826EB" w:rsidRDefault="007447D3" w:rsidP="006F364D">
                            <w:pPr>
                              <w:tabs>
                                <w:tab w:val="left" w:pos="1985"/>
                              </w:tabs>
                              <w:spacing w:after="0"/>
                              <w:rPr>
                                <w:i w:val="0"/>
                                <w:color w:val="FFFFFF" w:themeColor="background1"/>
                                <w:sz w:val="24"/>
                                <w:szCs w:val="24"/>
                              </w:rPr>
                            </w:pPr>
                            <w:r>
                              <w:rPr>
                                <w:i w:val="0"/>
                                <w:color w:val="FFFFFF" w:themeColor="background1"/>
                                <w:sz w:val="24"/>
                                <w:szCs w:val="24"/>
                              </w:rPr>
                              <w:t>Ipswich</w:t>
                            </w:r>
                          </w:p>
                          <w:p w:rsidR="007447D3" w:rsidRPr="007826EB" w:rsidRDefault="007447D3" w:rsidP="006F364D">
                            <w:pPr>
                              <w:tabs>
                                <w:tab w:val="left" w:pos="2410"/>
                              </w:tabs>
                              <w:spacing w:after="0"/>
                              <w:rPr>
                                <w:i w:val="0"/>
                                <w:color w:val="FFFFFF" w:themeColor="background1"/>
                                <w:sz w:val="24"/>
                                <w:szCs w:val="24"/>
                              </w:rPr>
                            </w:pPr>
                            <w:r w:rsidRPr="007826EB">
                              <w:rPr>
                                <w:i w:val="0"/>
                                <w:color w:val="FFFFFF" w:themeColor="background1"/>
                                <w:sz w:val="24"/>
                                <w:szCs w:val="24"/>
                              </w:rPr>
                              <w:t>Brisbane and surrounds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14.7pt;margin-top:520.75pt;width:188.05pt;height:17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" fillcolor="#604a7b" stroked="f">
                <v:shadow on="t" color="black" offset="0,1pt"/>
                <v:textbox>
                  <w:txbxContent>
                    <w:p w:rsidR="007447D3" w:rsidRPr="007826EB" w:rsidRDefault="007447D3" w:rsidP="00D81464">
                      <w:pPr>
                        <w:spacing w:after="240"/>
                        <w:jc w:val="center"/>
                        <w:rPr>
                          <w:b/>
                          <w:i w:val="0"/>
                          <w:color w:val="FFFFFF" w:themeColor="background1"/>
                          <w:sz w:val="24"/>
                          <w:szCs w:val="24"/>
                        </w:rPr>
                      </w:pPr>
                      <w:r w:rsidRPr="007826EB">
                        <w:rPr>
                          <w:b/>
                          <w:i w:val="0"/>
                          <w:color w:val="FFFFFF" w:themeColor="background1"/>
                          <w:sz w:val="24"/>
                          <w:szCs w:val="24"/>
                        </w:rPr>
                        <w:t>South East Qld</w:t>
                      </w:r>
                    </w:p>
                    <w:p w:rsidR="007447D3" w:rsidRPr="007826EB" w:rsidRDefault="007447D3" w:rsidP="006F364D">
                      <w:pPr>
                        <w:tabs>
                          <w:tab w:val="left" w:pos="1985"/>
                        </w:tabs>
                        <w:spacing w:after="0"/>
                        <w:rPr>
                          <w:i w:val="0"/>
                          <w:color w:val="FFFFFF" w:themeColor="background1"/>
                          <w:sz w:val="24"/>
                          <w:szCs w:val="24"/>
                        </w:rPr>
                      </w:pPr>
                      <w:r w:rsidRPr="007826EB">
                        <w:rPr>
                          <w:i w:val="0"/>
                          <w:color w:val="FFFFFF" w:themeColor="background1"/>
                          <w:sz w:val="24"/>
                          <w:szCs w:val="24"/>
                        </w:rPr>
                        <w:t>Tara</w:t>
                      </w:r>
                      <w:r w:rsidRPr="007826EB">
                        <w:rPr>
                          <w:i w:val="0"/>
                          <w:color w:val="FFFFFF" w:themeColor="background1"/>
                          <w:sz w:val="24"/>
                          <w:szCs w:val="24"/>
                        </w:rPr>
                        <w:tab/>
                        <w:t>Redcliffe</w:t>
                      </w:r>
                    </w:p>
                    <w:p w:rsidR="007447D3" w:rsidRPr="007826EB" w:rsidRDefault="007447D3" w:rsidP="006F364D">
                      <w:pPr>
                        <w:tabs>
                          <w:tab w:val="left" w:pos="1985"/>
                        </w:tabs>
                        <w:spacing w:after="0"/>
                        <w:rPr>
                          <w:i w:val="0"/>
                          <w:color w:val="FFFFFF" w:themeColor="background1"/>
                          <w:sz w:val="24"/>
                          <w:szCs w:val="24"/>
                        </w:rPr>
                      </w:pPr>
                      <w:r w:rsidRPr="007826EB">
                        <w:rPr>
                          <w:i w:val="0"/>
                          <w:color w:val="FFFFFF" w:themeColor="background1"/>
                          <w:sz w:val="24"/>
                          <w:szCs w:val="24"/>
                        </w:rPr>
                        <w:t>Sunshine Coast</w:t>
                      </w:r>
                      <w:r w:rsidRPr="007826EB">
                        <w:rPr>
                          <w:i w:val="0"/>
                          <w:color w:val="FFFFFF" w:themeColor="background1"/>
                          <w:sz w:val="24"/>
                          <w:szCs w:val="24"/>
                        </w:rPr>
                        <w:tab/>
                        <w:t>Caboolture</w:t>
                      </w:r>
                    </w:p>
                    <w:p w:rsidR="007447D3" w:rsidRPr="007826EB" w:rsidRDefault="007447D3" w:rsidP="006F364D">
                      <w:pPr>
                        <w:tabs>
                          <w:tab w:val="left" w:pos="1985"/>
                        </w:tabs>
                        <w:spacing w:after="0"/>
                        <w:rPr>
                          <w:i w:val="0"/>
                          <w:color w:val="FFFFFF" w:themeColor="background1"/>
                          <w:sz w:val="24"/>
                          <w:szCs w:val="24"/>
                        </w:rPr>
                      </w:pPr>
                      <w:r w:rsidRPr="007826EB">
                        <w:rPr>
                          <w:i w:val="0"/>
                          <w:color w:val="FFFFFF" w:themeColor="background1"/>
                          <w:sz w:val="24"/>
                          <w:szCs w:val="24"/>
                        </w:rPr>
                        <w:t>Gatton</w:t>
                      </w:r>
                      <w:r w:rsidRPr="007826EB">
                        <w:rPr>
                          <w:i w:val="0"/>
                          <w:color w:val="FFFFFF" w:themeColor="background1"/>
                          <w:sz w:val="24"/>
                          <w:szCs w:val="24"/>
                        </w:rPr>
                        <w:tab/>
                        <w:t xml:space="preserve">Gold Coast </w:t>
                      </w:r>
                    </w:p>
                    <w:p w:rsidR="007447D3" w:rsidRPr="007826EB" w:rsidRDefault="007447D3" w:rsidP="006F364D">
                      <w:pPr>
                        <w:tabs>
                          <w:tab w:val="left" w:pos="1985"/>
                        </w:tabs>
                        <w:spacing w:after="0"/>
                        <w:rPr>
                          <w:i w:val="0"/>
                          <w:color w:val="FFFFFF" w:themeColor="background1"/>
                          <w:sz w:val="24"/>
                          <w:szCs w:val="24"/>
                        </w:rPr>
                      </w:pPr>
                      <w:r w:rsidRPr="007826EB">
                        <w:rPr>
                          <w:i w:val="0"/>
                          <w:color w:val="FFFFFF" w:themeColor="background1"/>
                          <w:sz w:val="24"/>
                          <w:szCs w:val="24"/>
                        </w:rPr>
                        <w:t>Gympie</w:t>
                      </w:r>
                      <w:r w:rsidRPr="007826EB">
                        <w:rPr>
                          <w:i w:val="0"/>
                          <w:color w:val="FFFFFF" w:themeColor="background1"/>
                          <w:sz w:val="24"/>
                          <w:szCs w:val="24"/>
                        </w:rPr>
                        <w:tab/>
                        <w:t>Toowoomba</w:t>
                      </w:r>
                    </w:p>
                    <w:p w:rsidR="007447D3" w:rsidRPr="007826EB" w:rsidRDefault="007447D3" w:rsidP="006F364D">
                      <w:pPr>
                        <w:tabs>
                          <w:tab w:val="left" w:pos="1985"/>
                        </w:tabs>
                        <w:spacing w:after="0"/>
                        <w:rPr>
                          <w:i w:val="0"/>
                          <w:color w:val="FFFFFF" w:themeColor="background1"/>
                          <w:sz w:val="24"/>
                          <w:szCs w:val="24"/>
                        </w:rPr>
                      </w:pPr>
                      <w:r w:rsidRPr="007826EB">
                        <w:rPr>
                          <w:i w:val="0"/>
                          <w:color w:val="FFFFFF" w:themeColor="background1"/>
                          <w:sz w:val="24"/>
                          <w:szCs w:val="24"/>
                        </w:rPr>
                        <w:t>Dalby</w:t>
                      </w:r>
                      <w:r w:rsidRPr="007826EB">
                        <w:rPr>
                          <w:i w:val="0"/>
                          <w:color w:val="FFFFFF" w:themeColor="background1"/>
                          <w:sz w:val="24"/>
                          <w:szCs w:val="24"/>
                        </w:rPr>
                        <w:tab/>
                        <w:t>Logan</w:t>
                      </w:r>
                    </w:p>
                    <w:p w:rsidR="007447D3" w:rsidRPr="007826EB" w:rsidRDefault="007447D3" w:rsidP="006F364D">
                      <w:pPr>
                        <w:tabs>
                          <w:tab w:val="left" w:pos="1985"/>
                        </w:tabs>
                        <w:spacing w:after="0"/>
                        <w:rPr>
                          <w:i w:val="0"/>
                          <w:color w:val="FFFFFF" w:themeColor="background1"/>
                          <w:sz w:val="24"/>
                          <w:szCs w:val="24"/>
                        </w:rPr>
                      </w:pPr>
                      <w:r>
                        <w:rPr>
                          <w:i w:val="0"/>
                          <w:color w:val="FFFFFF" w:themeColor="background1"/>
                          <w:sz w:val="24"/>
                          <w:szCs w:val="24"/>
                        </w:rPr>
                        <w:t>Ipswich</w:t>
                      </w:r>
                    </w:p>
                    <w:p w:rsidR="007447D3" w:rsidRPr="007826EB" w:rsidRDefault="007447D3" w:rsidP="006F364D">
                      <w:pPr>
                        <w:tabs>
                          <w:tab w:val="left" w:pos="2410"/>
                        </w:tabs>
                        <w:spacing w:after="0"/>
                        <w:rPr>
                          <w:i w:val="0"/>
                          <w:color w:val="FFFFFF" w:themeColor="background1"/>
                          <w:sz w:val="24"/>
                          <w:szCs w:val="24"/>
                        </w:rPr>
                      </w:pPr>
                      <w:r w:rsidRPr="007826EB">
                        <w:rPr>
                          <w:i w:val="0"/>
                          <w:color w:val="FFFFFF" w:themeColor="background1"/>
                          <w:sz w:val="24"/>
                          <w:szCs w:val="24"/>
                        </w:rPr>
                        <w:t>Brisbane and surrounds</w:t>
                      </w:r>
                    </w:p>
                  </w:txbxContent>
                </v:textbox>
              </v:shape>
            </w:pict>
          </mc:Fallback>
        </mc:AlternateContent>
      </w:r>
      <w:r w:rsidR="00D81464">
        <w:rPr>
          <w:noProof/>
          <w:lang w:eastAsia="en-AU"/>
        </w:rPr>
        <mc:AlternateContent>
          <mc:Choice Requires="wps">
            <w:drawing>
              <wp:anchor distT="0" distB="0" distL="114300" distR="114300" simplePos="0" relativeHeight="251712512" behindDoc="0" locked="0" layoutInCell="1" allowOverlap="1" wp14:anchorId="61CE3431" wp14:editId="3EB53350">
                <wp:simplePos x="0" y="0"/>
                <wp:positionH relativeFrom="column">
                  <wp:posOffset>-41588</wp:posOffset>
                </wp:positionH>
                <wp:positionV relativeFrom="paragraph">
                  <wp:posOffset>1235710</wp:posOffset>
                </wp:positionV>
                <wp:extent cx="1665027" cy="1610436"/>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027" cy="1610436"/>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rsidR="007447D3" w:rsidRPr="007826EB" w:rsidRDefault="007447D3" w:rsidP="00D81464">
                            <w:pPr>
                              <w:jc w:val="center"/>
                              <w:rPr>
                                <w:b/>
                                <w:i w:val="0"/>
                                <w:sz w:val="36"/>
                              </w:rPr>
                            </w:pPr>
                            <w:r w:rsidRPr="007826EB">
                              <w:rPr>
                                <w:b/>
                                <w:i w:val="0"/>
                                <w:sz w:val="36"/>
                              </w:rPr>
                              <w:t>Locations of Training Delivery</w:t>
                            </w:r>
                          </w:p>
                          <w:p w:rsidR="007447D3" w:rsidRPr="007826EB" w:rsidRDefault="007447D3" w:rsidP="00D81464">
                            <w:pPr>
                              <w:pStyle w:val="NoSpacing"/>
                              <w:jc w:val="center"/>
                              <w:rPr>
                                <w:b/>
                                <w:i w:val="0"/>
                                <w:sz w:val="36"/>
                              </w:rPr>
                            </w:pPr>
                            <w:r w:rsidRPr="007826EB">
                              <w:rPr>
                                <w:b/>
                                <w:i w:val="0"/>
                                <w:sz w:val="36"/>
                              </w:rPr>
                              <w:t>2013-2014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25pt;margin-top:97.3pt;width:131.1pt;height:12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" filled="f" stroked="f" strokeweight="2pt">
                <v:textbox>
                  <w:txbxContent>
                    <w:p w:rsidR="007447D3" w:rsidRPr="007826EB" w:rsidRDefault="007447D3" w:rsidP="00D81464">
                      <w:pPr>
                        <w:jc w:val="center"/>
                        <w:rPr>
                          <w:b/>
                          <w:i w:val="0"/>
                          <w:sz w:val="36"/>
                        </w:rPr>
                      </w:pPr>
                      <w:r w:rsidRPr="007826EB">
                        <w:rPr>
                          <w:b/>
                          <w:i w:val="0"/>
                          <w:sz w:val="36"/>
                        </w:rPr>
                        <w:t>Locations of Training Delivery</w:t>
                      </w:r>
                    </w:p>
                    <w:p w:rsidR="007447D3" w:rsidRPr="007826EB" w:rsidRDefault="007447D3" w:rsidP="00D81464">
                      <w:pPr>
                        <w:pStyle w:val="NoSpacing"/>
                        <w:jc w:val="center"/>
                        <w:rPr>
                          <w:b/>
                          <w:i w:val="0"/>
                          <w:sz w:val="36"/>
                        </w:rPr>
                      </w:pPr>
                      <w:r w:rsidRPr="007826EB">
                        <w:rPr>
                          <w:b/>
                          <w:i w:val="0"/>
                          <w:sz w:val="36"/>
                        </w:rPr>
                        <w:t>2013-2014</w:t>
                      </w:r>
                    </w:p>
                  </w:txbxContent>
                </v:textbox>
              </v:shape>
            </w:pict>
          </mc:Fallback>
        </mc:AlternateContent>
      </w:r>
      <w:r w:rsidR="00D81464" w:rsidRPr="007826EB">
        <w:rPr>
          <w:rFonts w:cstheme="minorHAnsi"/>
          <w:noProof/>
          <w:sz w:val="22"/>
          <w:szCs w:val="22"/>
          <w:lang w:eastAsia="en-AU"/>
        </w:rPr>
        <mc:AlternateContent>
          <mc:Choice Requires="wps">
            <w:drawing>
              <wp:anchor distT="0" distB="0" distL="114300" distR="114300" simplePos="0" relativeHeight="251707392" behindDoc="0" locked="0" layoutInCell="1" allowOverlap="1" wp14:anchorId="487E5309" wp14:editId="31446B58">
                <wp:simplePos x="0" y="0"/>
                <wp:positionH relativeFrom="column">
                  <wp:posOffset>2771140</wp:posOffset>
                </wp:positionH>
                <wp:positionV relativeFrom="paragraph">
                  <wp:posOffset>1624330</wp:posOffset>
                </wp:positionV>
                <wp:extent cx="1555845" cy="814601"/>
                <wp:effectExtent l="57150" t="57150" r="44450" b="157480"/>
                <wp:wrapNone/>
                <wp:docPr id="22" name="Curved Connector 22" descr="Points to Far North Queensland on map"/>
                <wp:cNvGraphicFramePr/>
                <a:graphic xmlns:a="http://schemas.openxmlformats.org/drawingml/2006/main">
                  <a:graphicData uri="http://schemas.microsoft.com/office/word/2010/wordprocessingShape">
                    <wps:wsp>
                      <wps:cNvCnPr/>
                      <wps:spPr>
                        <a:xfrm rot="10800000" flipV="1">
                          <a:off x="0" y="0"/>
                          <a:ext cx="1555845" cy="814601"/>
                        </a:xfrm>
                        <a:prstGeom prst="curvedConnector3">
                          <a:avLst>
                            <a:gd name="adj1" fmla="val 25436"/>
                          </a:avLst>
                        </a:prstGeom>
                        <a:ln w="38100">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2" o:spid="_x0000_s1026" type="#_x0000_t38" alt="Points to Far North Queensland on map" style="position:absolute;margin-left:218.2pt;margin-top:127.9pt;width:122.5pt;height:64.15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" adj="5494" strokecolor="#4d4d4d [3209]" strokeweight="3pt">
                <v:stroke endarrow="open"/>
                <v:shadow on="t" color="black" opacity="24903f" origin=",.5" offset="0,.55556mm"/>
              </v:shape>
            </w:pict>
          </mc:Fallback>
        </mc:AlternateContent>
      </w:r>
      <w:r w:rsidR="00D81464" w:rsidRPr="007826EB">
        <w:rPr>
          <w:rFonts w:cstheme="minorHAnsi"/>
          <w:noProof/>
          <w:sz w:val="22"/>
          <w:szCs w:val="22"/>
          <w:lang w:eastAsia="en-AU"/>
        </w:rPr>
        <mc:AlternateContent>
          <mc:Choice Requires="wps">
            <w:drawing>
              <wp:anchor distT="0" distB="0" distL="114300" distR="114300" simplePos="0" relativeHeight="251708416" behindDoc="0" locked="0" layoutInCell="1" allowOverlap="1" wp14:anchorId="28D6D81A" wp14:editId="552D1BB6">
                <wp:simplePos x="0" y="0"/>
                <wp:positionH relativeFrom="column">
                  <wp:posOffset>5148580</wp:posOffset>
                </wp:positionH>
                <wp:positionV relativeFrom="paragraph">
                  <wp:posOffset>7625715</wp:posOffset>
                </wp:positionV>
                <wp:extent cx="824865" cy="755015"/>
                <wp:effectExtent l="57150" t="57150" r="13335" b="159385"/>
                <wp:wrapNone/>
                <wp:docPr id="23" name="Curved Connector 23" descr="Points to South East Queensland on map"/>
                <wp:cNvGraphicFramePr/>
                <a:graphic xmlns:a="http://schemas.openxmlformats.org/drawingml/2006/main">
                  <a:graphicData uri="http://schemas.microsoft.com/office/word/2010/wordprocessingShape">
                    <wps:wsp>
                      <wps:cNvCnPr/>
                      <wps:spPr>
                        <a:xfrm>
                          <a:off x="0" y="0"/>
                          <a:ext cx="824865" cy="755015"/>
                        </a:xfrm>
                        <a:prstGeom prst="curvedConnector3">
                          <a:avLst/>
                        </a:prstGeom>
                        <a:ln w="38100">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shape id="Curved Connector 23" o:spid="_x0000_s1026" type="#_x0000_t38" alt="Points to South East Queensland on map" style="position:absolute;margin-left:405.4pt;margin-top:600.45pt;width:64.95pt;height:59.4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" adj="10800" strokecolor="#4d4d4d [3209]" strokeweight="3pt">
                <v:stroke endarrow="open"/>
                <v:shadow on="t" color="black" opacity="24903f" origin=",.5" offset="0,.55556mm"/>
              </v:shape>
            </w:pict>
          </mc:Fallback>
        </mc:AlternateContent>
      </w:r>
      <w:r w:rsidR="00D81464" w:rsidRPr="007826EB">
        <w:rPr>
          <w:rFonts w:cstheme="minorHAnsi"/>
          <w:noProof/>
          <w:sz w:val="22"/>
          <w:szCs w:val="22"/>
          <w:lang w:eastAsia="en-AU"/>
        </w:rPr>
        <mc:AlternateContent>
          <mc:Choice Requires="wps">
            <w:drawing>
              <wp:anchor distT="0" distB="0" distL="114300" distR="114300" simplePos="0" relativeHeight="251709440" behindDoc="0" locked="0" layoutInCell="1" allowOverlap="1" wp14:anchorId="3E8CECC9" wp14:editId="3F64A26D">
                <wp:simplePos x="0" y="0"/>
                <wp:positionH relativeFrom="column">
                  <wp:posOffset>4013200</wp:posOffset>
                </wp:positionH>
                <wp:positionV relativeFrom="paragraph">
                  <wp:posOffset>5483225</wp:posOffset>
                </wp:positionV>
                <wp:extent cx="1063625" cy="597535"/>
                <wp:effectExtent l="57150" t="57150" r="79375" b="164465"/>
                <wp:wrapNone/>
                <wp:docPr id="24" name="Curved Connector 24" descr="Points to Central Queensland on map"/>
                <wp:cNvGraphicFramePr/>
                <a:graphic xmlns:a="http://schemas.openxmlformats.org/drawingml/2006/main">
                  <a:graphicData uri="http://schemas.microsoft.com/office/word/2010/wordprocessingShape">
                    <wps:wsp>
                      <wps:cNvCnPr/>
                      <wps:spPr>
                        <a:xfrm>
                          <a:off x="0" y="0"/>
                          <a:ext cx="1063625" cy="597535"/>
                        </a:xfrm>
                        <a:prstGeom prst="curvedConnector3">
                          <a:avLst/>
                        </a:prstGeom>
                        <a:ln w="38100">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4" o:spid="_x0000_s1026" type="#_x0000_t38" alt="Points to Central Queensland on map" style="position:absolute;margin-left:316pt;margin-top:431.75pt;width:83.75pt;height:4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" adj="10800" strokecolor="#4d4d4d [3209]" strokeweight="3pt">
                <v:stroke endarrow="open"/>
                <v:shadow on="t" color="black" opacity="24903f" origin=",.5" offset="0,.55556mm"/>
              </v:shape>
            </w:pict>
          </mc:Fallback>
        </mc:AlternateContent>
      </w:r>
      <w:r w:rsidR="00D81464" w:rsidRPr="007826EB">
        <w:rPr>
          <w:rFonts w:cstheme="minorHAnsi"/>
          <w:noProof/>
          <w:sz w:val="22"/>
          <w:szCs w:val="22"/>
          <w:lang w:eastAsia="en-AU"/>
        </w:rPr>
        <mc:AlternateContent>
          <mc:Choice Requires="wps">
            <w:drawing>
              <wp:anchor distT="0" distB="0" distL="114300" distR="114300" simplePos="0" relativeHeight="251710464" behindDoc="0" locked="0" layoutInCell="1" allowOverlap="1" wp14:anchorId="12B80D69" wp14:editId="39E73881">
                <wp:simplePos x="0" y="0"/>
                <wp:positionH relativeFrom="column">
                  <wp:posOffset>3425825</wp:posOffset>
                </wp:positionH>
                <wp:positionV relativeFrom="paragraph">
                  <wp:posOffset>3818890</wp:posOffset>
                </wp:positionV>
                <wp:extent cx="1405254" cy="476553"/>
                <wp:effectExtent l="57150" t="57150" r="43180" b="171450"/>
                <wp:wrapNone/>
                <wp:docPr id="25" name="Curved Connector 25" descr="Points to  North Queensland on map"/>
                <wp:cNvGraphicFramePr/>
                <a:graphic xmlns:a="http://schemas.openxmlformats.org/drawingml/2006/main">
                  <a:graphicData uri="http://schemas.microsoft.com/office/word/2010/wordprocessingShape">
                    <wps:wsp>
                      <wps:cNvCnPr/>
                      <wps:spPr>
                        <a:xfrm rot="10800000" flipV="1">
                          <a:off x="0" y="0"/>
                          <a:ext cx="1405254" cy="476553"/>
                        </a:xfrm>
                        <a:prstGeom prst="curvedConnector3">
                          <a:avLst>
                            <a:gd name="adj1" fmla="val 34438"/>
                          </a:avLst>
                        </a:prstGeom>
                        <a:ln w="38100">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shape id="Curved Connector 25" o:spid="_x0000_s1026" type="#_x0000_t38" alt="Points to  North Queensland on map" style="position:absolute;margin-left:269.75pt;margin-top:300.7pt;width:110.65pt;height:37.5pt;rotation:180;flip: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" adj="7439" strokecolor="#4d4d4d [3209]" strokeweight="3pt">
                <v:stroke endarrow="open"/>
                <v:shadow on="t" color="black" opacity="24903f" origin=",.5" offset="0,.55556mm"/>
              </v:shape>
            </w:pict>
          </mc:Fallback>
        </mc:AlternateContent>
      </w:r>
      <w:r w:rsidR="00D81464">
        <w:rPr>
          <w:noProof/>
          <w:lang w:eastAsia="en-AU"/>
        </w:rPr>
        <mc:AlternateContent>
          <mc:Choice Requires="wps">
            <w:drawing>
              <wp:anchor distT="0" distB="0" distL="114300" distR="114300" simplePos="0" relativeHeight="251713536" behindDoc="0" locked="0" layoutInCell="1" allowOverlap="1" wp14:anchorId="766F9203" wp14:editId="31418589">
                <wp:simplePos x="0" y="0"/>
                <wp:positionH relativeFrom="column">
                  <wp:posOffset>1677035</wp:posOffset>
                </wp:positionH>
                <wp:positionV relativeFrom="paragraph">
                  <wp:posOffset>4688840</wp:posOffset>
                </wp:positionV>
                <wp:extent cx="2469515" cy="1678305"/>
                <wp:effectExtent l="133350" t="114300" r="159385" b="1695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678305"/>
                        </a:xfrm>
                        <a:prstGeom prst="rect">
                          <a:avLst/>
                        </a:prstGeom>
                        <a:solidFill>
                          <a:srgbClr val="604A7B"/>
                        </a:solidFill>
                        <a:ln>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rsidR="007447D3" w:rsidRPr="007826EB" w:rsidRDefault="007447D3" w:rsidP="00D81464">
                            <w:pPr>
                              <w:spacing w:after="240"/>
                              <w:jc w:val="center"/>
                              <w:rPr>
                                <w:b/>
                                <w:i w:val="0"/>
                                <w:color w:val="FFFFFF" w:themeColor="background1"/>
                                <w:sz w:val="24"/>
                                <w:szCs w:val="24"/>
                              </w:rPr>
                            </w:pPr>
                            <w:r w:rsidRPr="007826EB">
                              <w:rPr>
                                <w:b/>
                                <w:i w:val="0"/>
                                <w:color w:val="FFFFFF" w:themeColor="background1"/>
                                <w:sz w:val="24"/>
                                <w:szCs w:val="24"/>
                              </w:rPr>
                              <w:t>Central Qld</w:t>
                            </w:r>
                          </w:p>
                          <w:p w:rsidR="007447D3" w:rsidRPr="007826EB" w:rsidRDefault="007447D3" w:rsidP="00D81464">
                            <w:pPr>
                              <w:tabs>
                                <w:tab w:val="left" w:pos="1560"/>
                              </w:tabs>
                              <w:spacing w:after="0"/>
                              <w:rPr>
                                <w:i w:val="0"/>
                                <w:color w:val="FFFFFF" w:themeColor="background1"/>
                                <w:sz w:val="24"/>
                                <w:szCs w:val="24"/>
                              </w:rPr>
                            </w:pPr>
                            <w:r w:rsidRPr="007826EB">
                              <w:rPr>
                                <w:i w:val="0"/>
                                <w:color w:val="FFFFFF" w:themeColor="background1"/>
                                <w:sz w:val="24"/>
                                <w:szCs w:val="24"/>
                              </w:rPr>
                              <w:t>Bundaberg</w:t>
                            </w:r>
                            <w:r w:rsidRPr="007826EB">
                              <w:rPr>
                                <w:i w:val="0"/>
                                <w:color w:val="FFFFFF" w:themeColor="background1"/>
                                <w:sz w:val="24"/>
                                <w:szCs w:val="24"/>
                              </w:rPr>
                              <w:tab/>
                              <w:t>Moura</w:t>
                            </w:r>
                          </w:p>
                          <w:p w:rsidR="007447D3" w:rsidRPr="007826EB" w:rsidRDefault="007447D3" w:rsidP="00D81464">
                            <w:pPr>
                              <w:tabs>
                                <w:tab w:val="left" w:pos="1560"/>
                              </w:tabs>
                              <w:spacing w:after="0"/>
                              <w:rPr>
                                <w:i w:val="0"/>
                                <w:color w:val="FFFFFF" w:themeColor="background1"/>
                                <w:sz w:val="24"/>
                                <w:szCs w:val="24"/>
                              </w:rPr>
                            </w:pPr>
                            <w:r w:rsidRPr="007826EB">
                              <w:rPr>
                                <w:i w:val="0"/>
                                <w:color w:val="FFFFFF" w:themeColor="background1"/>
                                <w:sz w:val="24"/>
                                <w:szCs w:val="24"/>
                              </w:rPr>
                              <w:t>Tieri</w:t>
                            </w:r>
                            <w:r w:rsidRPr="007826EB">
                              <w:rPr>
                                <w:i w:val="0"/>
                                <w:color w:val="FFFFFF" w:themeColor="background1"/>
                                <w:sz w:val="24"/>
                                <w:szCs w:val="24"/>
                              </w:rPr>
                              <w:tab/>
                              <w:t>Moranbah</w:t>
                            </w:r>
                          </w:p>
                          <w:p w:rsidR="007447D3" w:rsidRPr="006F364D" w:rsidRDefault="007447D3" w:rsidP="006F364D">
                            <w:pPr>
                              <w:tabs>
                                <w:tab w:val="left" w:pos="1560"/>
                              </w:tabs>
                              <w:spacing w:after="0"/>
                              <w:rPr>
                                <w:i w:val="0"/>
                                <w:color w:val="FFFFFF" w:themeColor="background1"/>
                                <w:sz w:val="24"/>
                                <w:szCs w:val="24"/>
                              </w:rPr>
                            </w:pPr>
                            <w:r>
                              <w:rPr>
                                <w:i w:val="0"/>
                                <w:color w:val="FFFFFF" w:themeColor="background1"/>
                                <w:sz w:val="24"/>
                                <w:szCs w:val="24"/>
                              </w:rPr>
                              <w:t>Dysart</w:t>
                            </w:r>
                            <w:r>
                              <w:rPr>
                                <w:i w:val="0"/>
                                <w:color w:val="FFFFFF" w:themeColor="background1"/>
                                <w:sz w:val="24"/>
                                <w:szCs w:val="24"/>
                              </w:rPr>
                              <w:tab/>
                            </w:r>
                            <w:r w:rsidRPr="006F364D">
                              <w:rPr>
                                <w:i w:val="0"/>
                                <w:color w:val="FFFFFF" w:themeColor="background1"/>
                                <w:sz w:val="24"/>
                                <w:szCs w:val="24"/>
                              </w:rPr>
                              <w:t>Cracow</w:t>
                            </w:r>
                          </w:p>
                          <w:p w:rsidR="007447D3" w:rsidRPr="006F364D" w:rsidRDefault="007447D3" w:rsidP="006F364D">
                            <w:pPr>
                              <w:tabs>
                                <w:tab w:val="left" w:pos="1560"/>
                              </w:tabs>
                              <w:spacing w:after="0"/>
                              <w:rPr>
                                <w:i w:val="0"/>
                                <w:color w:val="FFFFFF" w:themeColor="background1"/>
                                <w:sz w:val="24"/>
                                <w:szCs w:val="24"/>
                              </w:rPr>
                            </w:pPr>
                            <w:r>
                              <w:rPr>
                                <w:i w:val="0"/>
                                <w:color w:val="FFFFFF" w:themeColor="background1"/>
                                <w:sz w:val="24"/>
                                <w:szCs w:val="24"/>
                              </w:rPr>
                              <w:t xml:space="preserve">Mt </w:t>
                            </w:r>
                            <w:proofErr w:type="spellStart"/>
                            <w:r>
                              <w:rPr>
                                <w:i w:val="0"/>
                                <w:color w:val="FFFFFF" w:themeColor="background1"/>
                                <w:sz w:val="24"/>
                                <w:szCs w:val="24"/>
                              </w:rPr>
                              <w:t>Rawsom</w:t>
                            </w:r>
                            <w:proofErr w:type="spellEnd"/>
                            <w:r>
                              <w:rPr>
                                <w:i w:val="0"/>
                                <w:color w:val="FFFFFF" w:themeColor="background1"/>
                                <w:sz w:val="24"/>
                                <w:szCs w:val="24"/>
                              </w:rPr>
                              <w:tab/>
                            </w:r>
                            <w:r w:rsidRPr="006F364D">
                              <w:rPr>
                                <w:i w:val="0"/>
                                <w:color w:val="FFFFFF" w:themeColor="background1"/>
                                <w:sz w:val="24"/>
                                <w:szCs w:val="24"/>
                              </w:rPr>
                              <w:t>Emerald</w:t>
                            </w:r>
                          </w:p>
                          <w:p w:rsidR="007447D3" w:rsidRPr="006F364D" w:rsidRDefault="007447D3" w:rsidP="006F364D">
                            <w:pPr>
                              <w:tabs>
                                <w:tab w:val="left" w:pos="1560"/>
                              </w:tabs>
                              <w:spacing w:after="0"/>
                              <w:rPr>
                                <w:i w:val="0"/>
                                <w:color w:val="FFFFFF" w:themeColor="background1"/>
                                <w:sz w:val="24"/>
                                <w:szCs w:val="24"/>
                              </w:rPr>
                            </w:pPr>
                            <w:r w:rsidRPr="006F364D">
                              <w:rPr>
                                <w:i w:val="0"/>
                                <w:color w:val="FFFFFF" w:themeColor="background1"/>
                                <w:sz w:val="24"/>
                                <w:szCs w:val="24"/>
                              </w:rPr>
                              <w:t>Gladstone</w:t>
                            </w:r>
                          </w:p>
                          <w:p w:rsidR="007447D3" w:rsidRPr="007826EB" w:rsidRDefault="007447D3" w:rsidP="006F364D">
                            <w:pPr>
                              <w:tabs>
                                <w:tab w:val="left" w:pos="1560"/>
                              </w:tabs>
                              <w:spacing w:after="0"/>
                              <w:rPr>
                                <w:i w:val="0"/>
                                <w:color w:val="FFFFFF" w:themeColor="background1"/>
                                <w:sz w:val="24"/>
                                <w:szCs w:val="24"/>
                              </w:rPr>
                            </w:pPr>
                            <w:r w:rsidRPr="007826EB">
                              <w:rPr>
                                <w:i w:val="0"/>
                                <w:color w:val="FFFFFF" w:themeColor="background1"/>
                                <w:sz w:val="24"/>
                                <w:szCs w:val="24"/>
                              </w:rPr>
                              <w:t>Rockhampton and surrounds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32.05pt;margin-top:369.2pt;width:194.45pt;height:13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" fillcolor="#604a7b" stroked="f">
                <v:shadow on="t" color="black" offset="0,1pt"/>
                <v:textbox>
                  <w:txbxContent>
                    <w:p w:rsidR="007447D3" w:rsidRPr="007826EB" w:rsidRDefault="007447D3" w:rsidP="00D81464">
                      <w:pPr>
                        <w:spacing w:after="240"/>
                        <w:jc w:val="center"/>
                        <w:rPr>
                          <w:b/>
                          <w:i w:val="0"/>
                          <w:color w:val="FFFFFF" w:themeColor="background1"/>
                          <w:sz w:val="24"/>
                          <w:szCs w:val="24"/>
                        </w:rPr>
                      </w:pPr>
                      <w:r w:rsidRPr="007826EB">
                        <w:rPr>
                          <w:b/>
                          <w:i w:val="0"/>
                          <w:color w:val="FFFFFF" w:themeColor="background1"/>
                          <w:sz w:val="24"/>
                          <w:szCs w:val="24"/>
                        </w:rPr>
                        <w:t>Central Qld</w:t>
                      </w:r>
                    </w:p>
                    <w:p w:rsidR="007447D3" w:rsidRPr="007826EB" w:rsidRDefault="007447D3" w:rsidP="00D81464">
                      <w:pPr>
                        <w:tabs>
                          <w:tab w:val="left" w:pos="1560"/>
                        </w:tabs>
                        <w:spacing w:after="0"/>
                        <w:rPr>
                          <w:i w:val="0"/>
                          <w:color w:val="FFFFFF" w:themeColor="background1"/>
                          <w:sz w:val="24"/>
                          <w:szCs w:val="24"/>
                        </w:rPr>
                      </w:pPr>
                      <w:r w:rsidRPr="007826EB">
                        <w:rPr>
                          <w:i w:val="0"/>
                          <w:color w:val="FFFFFF" w:themeColor="background1"/>
                          <w:sz w:val="24"/>
                          <w:szCs w:val="24"/>
                        </w:rPr>
                        <w:t>Bundaberg</w:t>
                      </w:r>
                      <w:r w:rsidRPr="007826EB">
                        <w:rPr>
                          <w:i w:val="0"/>
                          <w:color w:val="FFFFFF" w:themeColor="background1"/>
                          <w:sz w:val="24"/>
                          <w:szCs w:val="24"/>
                        </w:rPr>
                        <w:tab/>
                        <w:t>Moura</w:t>
                      </w:r>
                    </w:p>
                    <w:p w:rsidR="007447D3" w:rsidRPr="007826EB" w:rsidRDefault="007447D3" w:rsidP="00D81464">
                      <w:pPr>
                        <w:tabs>
                          <w:tab w:val="left" w:pos="1560"/>
                        </w:tabs>
                        <w:spacing w:after="0"/>
                        <w:rPr>
                          <w:i w:val="0"/>
                          <w:color w:val="FFFFFF" w:themeColor="background1"/>
                          <w:sz w:val="24"/>
                          <w:szCs w:val="24"/>
                        </w:rPr>
                      </w:pPr>
                      <w:r w:rsidRPr="007826EB">
                        <w:rPr>
                          <w:i w:val="0"/>
                          <w:color w:val="FFFFFF" w:themeColor="background1"/>
                          <w:sz w:val="24"/>
                          <w:szCs w:val="24"/>
                        </w:rPr>
                        <w:t>Tieri</w:t>
                      </w:r>
                      <w:r w:rsidRPr="007826EB">
                        <w:rPr>
                          <w:i w:val="0"/>
                          <w:color w:val="FFFFFF" w:themeColor="background1"/>
                          <w:sz w:val="24"/>
                          <w:szCs w:val="24"/>
                        </w:rPr>
                        <w:tab/>
                        <w:t>Moranbah</w:t>
                      </w:r>
                    </w:p>
                    <w:p w:rsidR="007447D3" w:rsidRPr="006F364D" w:rsidRDefault="007447D3" w:rsidP="006F364D">
                      <w:pPr>
                        <w:tabs>
                          <w:tab w:val="left" w:pos="1560"/>
                        </w:tabs>
                        <w:spacing w:after="0"/>
                        <w:rPr>
                          <w:i w:val="0"/>
                          <w:color w:val="FFFFFF" w:themeColor="background1"/>
                          <w:sz w:val="24"/>
                          <w:szCs w:val="24"/>
                        </w:rPr>
                      </w:pPr>
                      <w:r>
                        <w:rPr>
                          <w:i w:val="0"/>
                          <w:color w:val="FFFFFF" w:themeColor="background1"/>
                          <w:sz w:val="24"/>
                          <w:szCs w:val="24"/>
                        </w:rPr>
                        <w:t>Dysart</w:t>
                      </w:r>
                      <w:r>
                        <w:rPr>
                          <w:i w:val="0"/>
                          <w:color w:val="FFFFFF" w:themeColor="background1"/>
                          <w:sz w:val="24"/>
                          <w:szCs w:val="24"/>
                        </w:rPr>
                        <w:tab/>
                      </w:r>
                      <w:r w:rsidRPr="006F364D">
                        <w:rPr>
                          <w:i w:val="0"/>
                          <w:color w:val="FFFFFF" w:themeColor="background1"/>
                          <w:sz w:val="24"/>
                          <w:szCs w:val="24"/>
                        </w:rPr>
                        <w:t>Cracow</w:t>
                      </w:r>
                    </w:p>
                    <w:p w:rsidR="007447D3" w:rsidRPr="006F364D" w:rsidRDefault="007447D3" w:rsidP="006F364D">
                      <w:pPr>
                        <w:tabs>
                          <w:tab w:val="left" w:pos="1560"/>
                        </w:tabs>
                        <w:spacing w:after="0"/>
                        <w:rPr>
                          <w:i w:val="0"/>
                          <w:color w:val="FFFFFF" w:themeColor="background1"/>
                          <w:sz w:val="24"/>
                          <w:szCs w:val="24"/>
                        </w:rPr>
                      </w:pPr>
                      <w:r>
                        <w:rPr>
                          <w:i w:val="0"/>
                          <w:color w:val="FFFFFF" w:themeColor="background1"/>
                          <w:sz w:val="24"/>
                          <w:szCs w:val="24"/>
                        </w:rPr>
                        <w:t xml:space="preserve">Mt </w:t>
                      </w:r>
                      <w:proofErr w:type="spellStart"/>
                      <w:r>
                        <w:rPr>
                          <w:i w:val="0"/>
                          <w:color w:val="FFFFFF" w:themeColor="background1"/>
                          <w:sz w:val="24"/>
                          <w:szCs w:val="24"/>
                        </w:rPr>
                        <w:t>Rawsom</w:t>
                      </w:r>
                      <w:proofErr w:type="spellEnd"/>
                      <w:r>
                        <w:rPr>
                          <w:i w:val="0"/>
                          <w:color w:val="FFFFFF" w:themeColor="background1"/>
                          <w:sz w:val="24"/>
                          <w:szCs w:val="24"/>
                        </w:rPr>
                        <w:tab/>
                      </w:r>
                      <w:r w:rsidRPr="006F364D">
                        <w:rPr>
                          <w:i w:val="0"/>
                          <w:color w:val="FFFFFF" w:themeColor="background1"/>
                          <w:sz w:val="24"/>
                          <w:szCs w:val="24"/>
                        </w:rPr>
                        <w:t>Emerald</w:t>
                      </w:r>
                    </w:p>
                    <w:p w:rsidR="007447D3" w:rsidRPr="006F364D" w:rsidRDefault="007447D3" w:rsidP="006F364D">
                      <w:pPr>
                        <w:tabs>
                          <w:tab w:val="left" w:pos="1560"/>
                        </w:tabs>
                        <w:spacing w:after="0"/>
                        <w:rPr>
                          <w:i w:val="0"/>
                          <w:color w:val="FFFFFF" w:themeColor="background1"/>
                          <w:sz w:val="24"/>
                          <w:szCs w:val="24"/>
                        </w:rPr>
                      </w:pPr>
                      <w:r w:rsidRPr="006F364D">
                        <w:rPr>
                          <w:i w:val="0"/>
                          <w:color w:val="FFFFFF" w:themeColor="background1"/>
                          <w:sz w:val="24"/>
                          <w:szCs w:val="24"/>
                        </w:rPr>
                        <w:t>Gladstone</w:t>
                      </w:r>
                    </w:p>
                    <w:p w:rsidR="007447D3" w:rsidRPr="007826EB" w:rsidRDefault="007447D3" w:rsidP="006F364D">
                      <w:pPr>
                        <w:tabs>
                          <w:tab w:val="left" w:pos="1560"/>
                        </w:tabs>
                        <w:spacing w:after="0"/>
                        <w:rPr>
                          <w:i w:val="0"/>
                          <w:color w:val="FFFFFF" w:themeColor="background1"/>
                          <w:sz w:val="24"/>
                          <w:szCs w:val="24"/>
                        </w:rPr>
                      </w:pPr>
                      <w:r w:rsidRPr="007826EB">
                        <w:rPr>
                          <w:i w:val="0"/>
                          <w:color w:val="FFFFFF" w:themeColor="background1"/>
                          <w:sz w:val="24"/>
                          <w:szCs w:val="24"/>
                        </w:rPr>
                        <w:t>Rockhampton and surrounds</w:t>
                      </w:r>
                    </w:p>
                  </w:txbxContent>
                </v:textbox>
              </v:shape>
            </w:pict>
          </mc:Fallback>
        </mc:AlternateContent>
      </w:r>
      <w:bookmarkStart w:id="104" w:name="_GoBack"/>
      <w:r w:rsidR="00D81464">
        <w:rPr>
          <w:noProof/>
          <w:lang w:eastAsia="en-AU"/>
        </w:rPr>
        <w:drawing>
          <wp:anchor distT="0" distB="0" distL="114300" distR="114300" simplePos="0" relativeHeight="251697152" behindDoc="1" locked="0" layoutInCell="1" allowOverlap="1" wp14:anchorId="334E2C6E" wp14:editId="590B39BF">
            <wp:simplePos x="0" y="0"/>
            <wp:positionH relativeFrom="column">
              <wp:posOffset>-208280</wp:posOffset>
            </wp:positionH>
            <wp:positionV relativeFrom="margin">
              <wp:posOffset>380365</wp:posOffset>
            </wp:positionV>
            <wp:extent cx="6824345" cy="9154795"/>
            <wp:effectExtent l="0" t="0" r="0" b="0"/>
            <wp:wrapThrough wrapText="bothSides">
              <wp:wrapPolygon edited="0">
                <wp:start x="6572" y="45"/>
                <wp:lineTo x="6452" y="1573"/>
                <wp:lineTo x="5969" y="2292"/>
                <wp:lineTo x="5728" y="2742"/>
                <wp:lineTo x="5728" y="2966"/>
                <wp:lineTo x="5969" y="3011"/>
                <wp:lineTo x="5668" y="3236"/>
                <wp:lineTo x="5487" y="4180"/>
                <wp:lineTo x="5185" y="6607"/>
                <wp:lineTo x="965" y="7012"/>
                <wp:lineTo x="482" y="7102"/>
                <wp:lineTo x="482" y="17394"/>
                <wp:lineTo x="4281" y="18114"/>
                <wp:lineTo x="4341" y="20945"/>
                <wp:lineTo x="4462" y="20990"/>
                <wp:lineTo x="16581" y="21305"/>
                <wp:lineTo x="17426" y="21395"/>
                <wp:lineTo x="17727" y="21395"/>
                <wp:lineTo x="18571" y="21035"/>
                <wp:lineTo x="19174" y="20990"/>
                <wp:lineTo x="20561" y="20496"/>
                <wp:lineTo x="20681" y="19552"/>
                <wp:lineTo x="20681" y="19192"/>
                <wp:lineTo x="20259" y="18833"/>
                <wp:lineTo x="20561" y="17484"/>
                <wp:lineTo x="20862" y="16945"/>
                <wp:lineTo x="20862" y="16630"/>
                <wp:lineTo x="20018" y="16316"/>
                <wp:lineTo x="18993" y="15956"/>
                <wp:lineTo x="18209" y="15237"/>
                <wp:lineTo x="17667" y="14518"/>
                <wp:lineTo x="17787" y="14338"/>
                <wp:lineTo x="17727" y="13934"/>
                <wp:lineTo x="17546" y="13799"/>
                <wp:lineTo x="16039" y="13080"/>
                <wp:lineTo x="15978" y="12450"/>
                <wp:lineTo x="15496" y="11551"/>
                <wp:lineTo x="13567" y="10428"/>
                <wp:lineTo x="12843" y="10203"/>
                <wp:lineTo x="12119" y="9484"/>
                <wp:lineTo x="11758" y="8046"/>
                <wp:lineTo x="11697" y="7686"/>
                <wp:lineTo x="11215" y="7236"/>
                <wp:lineTo x="10974" y="5528"/>
                <wp:lineTo x="10491" y="5169"/>
                <wp:lineTo x="10552" y="4944"/>
                <wp:lineTo x="9466" y="4495"/>
                <wp:lineTo x="8743" y="4450"/>
                <wp:lineTo x="8863" y="3820"/>
                <wp:lineTo x="8622" y="3731"/>
                <wp:lineTo x="8502" y="3011"/>
                <wp:lineTo x="8200" y="2292"/>
                <wp:lineTo x="7718" y="1573"/>
                <wp:lineTo x="7537" y="764"/>
                <wp:lineTo x="7236" y="225"/>
                <wp:lineTo x="6934" y="45"/>
                <wp:lineTo x="6572" y="45"/>
              </wp:wrapPolygon>
            </wp:wrapThrough>
            <wp:docPr id="1" name="Picture 1" descr="Points to Far North Queensland 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map_of_queensland.png"/>
                    <pic:cNvPicPr/>
                  </pic:nvPicPr>
                  <pic:blipFill>
                    <a:blip r:embed="rId27">
                      <a:clrChange>
                        <a:clrFrom>
                          <a:srgbClr val="FFFFFF"/>
                        </a:clrFrom>
                        <a:clrTo>
                          <a:srgbClr val="FFFFFF">
                            <a:alpha val="0"/>
                          </a:srgbClr>
                        </a:clrTo>
                      </a:clrChange>
                      <a:duotone>
                        <a:prstClr val="black"/>
                        <a:srgbClr val="CDB6F2">
                          <a:tint val="45000"/>
                          <a:satMod val="400000"/>
                        </a:srgbClr>
                      </a:duotone>
                      <a:extLst>
                        <a:ext uri="{28A0092B-C50C-407E-A947-70E740481C1C}">
                          <a14:useLocalDpi xmlns:a14="http://schemas.microsoft.com/office/drawing/2010/main" val="0"/>
                        </a:ext>
                      </a:extLst>
                    </a:blip>
                    <a:stretch>
                      <a:fillRect/>
                    </a:stretch>
                  </pic:blipFill>
                  <pic:spPr>
                    <a:xfrm>
                      <a:off x="0" y="0"/>
                      <a:ext cx="6824345" cy="9154795"/>
                    </a:xfrm>
                    <a:prstGeom prst="rect">
                      <a:avLst/>
                    </a:prstGeom>
                  </pic:spPr>
                </pic:pic>
              </a:graphicData>
            </a:graphic>
            <wp14:sizeRelH relativeFrom="page">
              <wp14:pctWidth>0</wp14:pctWidth>
            </wp14:sizeRelH>
            <wp14:sizeRelV relativeFrom="page">
              <wp14:pctHeight>0</wp14:pctHeight>
            </wp14:sizeRelV>
          </wp:anchor>
        </w:drawing>
      </w:r>
      <w:bookmarkEnd w:id="104"/>
    </w:p>
    <w:sectPr w:rsidR="00A510E7" w:rsidSect="001A1133">
      <w:pgSz w:w="11906" w:h="16838" w:code="9"/>
      <w:pgMar w:top="851" w:right="1077" w:bottom="902" w:left="107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D3" w:rsidRDefault="007447D3" w:rsidP="00E12862">
      <w:pPr>
        <w:spacing w:after="0" w:line="240" w:lineRule="auto"/>
      </w:pPr>
      <w:r>
        <w:separator/>
      </w:r>
    </w:p>
    <w:p w:rsidR="007447D3" w:rsidRDefault="007447D3"/>
  </w:endnote>
  <w:endnote w:type="continuationSeparator" w:id="0">
    <w:p w:rsidR="007447D3" w:rsidRDefault="007447D3" w:rsidP="00E12862">
      <w:pPr>
        <w:spacing w:after="0" w:line="240" w:lineRule="auto"/>
      </w:pPr>
      <w:r>
        <w:continuationSeparator/>
      </w:r>
    </w:p>
    <w:p w:rsidR="007447D3" w:rsidRDefault="00744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1000000" w:usb1="00000000" w:usb2="07040001"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840933397"/>
      <w:docPartObj>
        <w:docPartGallery w:val="Page Numbers (Bottom of Page)"/>
        <w:docPartUnique/>
      </w:docPartObj>
    </w:sdtPr>
    <w:sdtEndPr/>
    <w:sdtContent>
      <w:sdt>
        <w:sdtPr>
          <w:rPr>
            <w:i w:val="0"/>
          </w:rPr>
          <w:id w:val="31699129"/>
          <w:docPartObj>
            <w:docPartGallery w:val="Page Numbers (Top of Page)"/>
            <w:docPartUnique/>
          </w:docPartObj>
        </w:sdtPr>
        <w:sdtEndPr/>
        <w:sdtContent>
          <w:p w:rsidR="007447D3" w:rsidRPr="00182FBF" w:rsidRDefault="007447D3" w:rsidP="00DC654C">
            <w:pPr>
              <w:pStyle w:val="Footer"/>
              <w:spacing w:before="360"/>
              <w:jc w:val="center"/>
              <w:rPr>
                <w:i w:val="0"/>
              </w:rPr>
            </w:pPr>
            <w:r w:rsidRPr="00182FBF">
              <w:rPr>
                <w:i w:val="0"/>
              </w:rPr>
              <w:t xml:space="preserve">Page </w:t>
            </w:r>
            <w:r w:rsidRPr="00182FBF">
              <w:rPr>
                <w:bCs/>
                <w:i w:val="0"/>
                <w:sz w:val="24"/>
                <w:szCs w:val="24"/>
              </w:rPr>
              <w:fldChar w:fldCharType="begin"/>
            </w:r>
            <w:r w:rsidRPr="00182FBF">
              <w:rPr>
                <w:bCs/>
                <w:i w:val="0"/>
              </w:rPr>
              <w:instrText xml:space="preserve"> PAGE </w:instrText>
            </w:r>
            <w:r w:rsidRPr="00182FBF">
              <w:rPr>
                <w:bCs/>
                <w:i w:val="0"/>
                <w:sz w:val="24"/>
                <w:szCs w:val="24"/>
              </w:rPr>
              <w:fldChar w:fldCharType="separate"/>
            </w:r>
            <w:r w:rsidR="00DD77AA">
              <w:rPr>
                <w:bCs/>
                <w:i w:val="0"/>
                <w:noProof/>
              </w:rPr>
              <w:t>44</w:t>
            </w:r>
            <w:r w:rsidRPr="00182FBF">
              <w:rPr>
                <w:bCs/>
                <w:i w:val="0"/>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485591780"/>
      <w:docPartObj>
        <w:docPartGallery w:val="Page Numbers (Bottom of Page)"/>
        <w:docPartUnique/>
      </w:docPartObj>
    </w:sdtPr>
    <w:sdtEndPr/>
    <w:sdtContent>
      <w:sdt>
        <w:sdtPr>
          <w:rPr>
            <w:i w:val="0"/>
          </w:rPr>
          <w:id w:val="-1740784735"/>
          <w:docPartObj>
            <w:docPartGallery w:val="Page Numbers (Top of Page)"/>
            <w:docPartUnique/>
          </w:docPartObj>
        </w:sdtPr>
        <w:sdtEndPr/>
        <w:sdtContent>
          <w:p w:rsidR="007447D3" w:rsidRPr="00182FBF" w:rsidRDefault="007447D3" w:rsidP="008B2604">
            <w:pPr>
              <w:pStyle w:val="Footer"/>
              <w:spacing w:before="360"/>
              <w:jc w:val="center"/>
              <w:rPr>
                <w:i w:val="0"/>
              </w:rPr>
            </w:pPr>
            <w:r w:rsidRPr="00182FBF">
              <w:rPr>
                <w:i w:val="0"/>
              </w:rPr>
              <w:t xml:space="preserve">Page </w:t>
            </w:r>
            <w:r w:rsidRPr="00182FBF">
              <w:rPr>
                <w:bCs/>
                <w:i w:val="0"/>
                <w:sz w:val="24"/>
                <w:szCs w:val="24"/>
              </w:rPr>
              <w:fldChar w:fldCharType="begin"/>
            </w:r>
            <w:r w:rsidRPr="00182FBF">
              <w:rPr>
                <w:bCs/>
                <w:i w:val="0"/>
              </w:rPr>
              <w:instrText xml:space="preserve"> PAGE </w:instrText>
            </w:r>
            <w:r w:rsidRPr="00182FBF">
              <w:rPr>
                <w:bCs/>
                <w:i w:val="0"/>
                <w:sz w:val="24"/>
                <w:szCs w:val="24"/>
              </w:rPr>
              <w:fldChar w:fldCharType="separate"/>
            </w:r>
            <w:r w:rsidR="00DD77AA">
              <w:rPr>
                <w:bCs/>
                <w:i w:val="0"/>
                <w:noProof/>
              </w:rPr>
              <w:t>51</w:t>
            </w:r>
            <w:r w:rsidRPr="00182FBF">
              <w:rPr>
                <w:bCs/>
                <w:i w:val="0"/>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D3" w:rsidRDefault="007447D3" w:rsidP="00E12862">
      <w:pPr>
        <w:spacing w:after="0" w:line="240" w:lineRule="auto"/>
      </w:pPr>
      <w:r>
        <w:separator/>
      </w:r>
    </w:p>
    <w:p w:rsidR="007447D3" w:rsidRDefault="007447D3"/>
  </w:footnote>
  <w:footnote w:type="continuationSeparator" w:id="0">
    <w:p w:rsidR="007447D3" w:rsidRDefault="007447D3" w:rsidP="00E12862">
      <w:pPr>
        <w:spacing w:after="0" w:line="240" w:lineRule="auto"/>
      </w:pPr>
      <w:r>
        <w:continuationSeparator/>
      </w:r>
    </w:p>
    <w:p w:rsidR="007447D3" w:rsidRDefault="007447D3"/>
  </w:footnote>
  <w:footnote w:id="1">
    <w:p w:rsidR="007447D3" w:rsidRPr="003018EE" w:rsidRDefault="007447D3" w:rsidP="0028797A">
      <w:pPr>
        <w:pStyle w:val="FootnoteText"/>
        <w:rPr>
          <w:lang w:val="en-US"/>
        </w:rPr>
      </w:pPr>
      <w:r>
        <w:rPr>
          <w:rStyle w:val="FootnoteReference"/>
        </w:rPr>
        <w:footnoteRef/>
      </w:r>
      <w:r>
        <w:t xml:space="preserve"> </w:t>
      </w:r>
      <w:r w:rsidRPr="00936FF8">
        <w:rPr>
          <w:rFonts w:ascii="Arial" w:hAnsi="Arial" w:cs="Arial"/>
        </w:rPr>
        <w:t xml:space="preserve">Anti-Discrimination Act 1991, section </w:t>
      </w:r>
      <w:r>
        <w:rPr>
          <w:rFonts w:ascii="Arial" w:hAnsi="Arial" w:cs="Arial"/>
        </w:rPr>
        <w:t>175.</w:t>
      </w:r>
    </w:p>
  </w:footnote>
  <w:footnote w:id="2">
    <w:p w:rsidR="007447D3" w:rsidRPr="003018EE" w:rsidRDefault="007447D3" w:rsidP="0028797A">
      <w:pPr>
        <w:pStyle w:val="FootnoteText"/>
        <w:rPr>
          <w:lang w:val="en-US"/>
        </w:rPr>
      </w:pPr>
      <w:r>
        <w:rPr>
          <w:rStyle w:val="FootnoteReference"/>
        </w:rPr>
        <w:footnoteRef/>
      </w:r>
      <w:r>
        <w:t xml:space="preserve"> </w:t>
      </w:r>
      <w:r w:rsidRPr="00936FF8">
        <w:rPr>
          <w:rFonts w:ascii="Arial" w:hAnsi="Arial" w:cs="Arial"/>
        </w:rPr>
        <w:t xml:space="preserve">Anti-Discrimination Act 1991, section </w:t>
      </w:r>
      <w:r>
        <w:rPr>
          <w:rFonts w:ascii="Arial" w:hAnsi="Arial" w:cs="Arial"/>
        </w:rPr>
        <w:t>113.</w:t>
      </w:r>
    </w:p>
  </w:footnote>
  <w:footnote w:id="3">
    <w:p w:rsidR="007447D3" w:rsidRPr="003018EE" w:rsidRDefault="007447D3" w:rsidP="0028797A">
      <w:pPr>
        <w:pStyle w:val="FootnoteText"/>
        <w:rPr>
          <w:lang w:val="en-US"/>
        </w:rPr>
      </w:pPr>
      <w:r>
        <w:rPr>
          <w:rStyle w:val="FootnoteReference"/>
        </w:rPr>
        <w:footnoteRef/>
      </w:r>
      <w:r>
        <w:t xml:space="preserve"> </w:t>
      </w:r>
      <w:r w:rsidRPr="00936FF8">
        <w:rPr>
          <w:rFonts w:ascii="Arial" w:hAnsi="Arial" w:cs="Arial"/>
        </w:rPr>
        <w:t xml:space="preserve">Anti-Discrimination Act 1991, section </w:t>
      </w:r>
      <w:r>
        <w:rPr>
          <w:rFonts w:ascii="Arial" w:hAnsi="Arial" w:cs="Arial"/>
        </w:rPr>
        <w:t>144.</w:t>
      </w:r>
    </w:p>
  </w:footnote>
  <w:footnote w:id="4">
    <w:p w:rsidR="007447D3" w:rsidRPr="003018EE" w:rsidRDefault="007447D3" w:rsidP="0028797A">
      <w:pPr>
        <w:pStyle w:val="FootnoteText"/>
        <w:rPr>
          <w:lang w:val="en-US"/>
        </w:rPr>
      </w:pPr>
      <w:r>
        <w:rPr>
          <w:rStyle w:val="FootnoteReference"/>
        </w:rPr>
        <w:footnoteRef/>
      </w:r>
      <w:r>
        <w:t xml:space="preserve"> </w:t>
      </w:r>
      <w:r w:rsidRPr="00936FF8">
        <w:rPr>
          <w:rFonts w:ascii="Arial" w:hAnsi="Arial" w:cs="Arial"/>
        </w:rPr>
        <w:t xml:space="preserve">Anti-Discrimination Act 1991, section </w:t>
      </w:r>
      <w:r>
        <w:rPr>
          <w:rFonts w:ascii="Arial" w:hAnsi="Arial" w:cs="Arial"/>
        </w:rPr>
        <w:t>169.</w:t>
      </w:r>
    </w:p>
  </w:footnote>
  <w:footnote w:id="5">
    <w:p w:rsidR="007447D3" w:rsidRPr="00721149" w:rsidRDefault="007447D3" w:rsidP="0028797A">
      <w:pPr>
        <w:pStyle w:val="FootnoteText"/>
        <w:rPr>
          <w:lang w:val="en-US"/>
        </w:rPr>
      </w:pPr>
      <w:r>
        <w:rPr>
          <w:rStyle w:val="FootnoteReference"/>
        </w:rPr>
        <w:footnoteRef/>
      </w:r>
      <w:r>
        <w:t xml:space="preserve"> </w:t>
      </w:r>
      <w:r w:rsidRPr="00936FF8">
        <w:rPr>
          <w:rFonts w:ascii="Arial" w:hAnsi="Arial" w:cs="Arial"/>
        </w:rPr>
        <w:t xml:space="preserve">Anti-Discrimination Act 1991, section </w:t>
      </w:r>
      <w:r>
        <w:rPr>
          <w:rFonts w:ascii="Arial" w:hAnsi="Arial" w:cs="Arial"/>
        </w:rPr>
        <w:t>228.</w:t>
      </w:r>
    </w:p>
  </w:footnote>
  <w:footnote w:id="6">
    <w:p w:rsidR="007447D3" w:rsidRPr="006D1906" w:rsidRDefault="007447D3" w:rsidP="0028797A">
      <w:pPr>
        <w:pStyle w:val="FootnoteText"/>
        <w:rPr>
          <w:rFonts w:ascii="Arial" w:hAnsi="Arial" w:cs="Arial"/>
          <w:i w:val="0"/>
          <w:lang w:val="en-US"/>
        </w:rPr>
      </w:pPr>
      <w:r w:rsidRPr="007E53D3">
        <w:rPr>
          <w:rStyle w:val="FootnoteReference"/>
          <w:rFonts w:ascii="Arial" w:hAnsi="Arial" w:cs="Arial"/>
        </w:rPr>
        <w:footnoteRef/>
      </w:r>
      <w:r w:rsidRPr="007E53D3">
        <w:rPr>
          <w:rFonts w:ascii="Arial" w:hAnsi="Arial" w:cs="Arial"/>
        </w:rPr>
        <w:t xml:space="preserve"> </w:t>
      </w:r>
      <w:proofErr w:type="gramStart"/>
      <w:r w:rsidRPr="007E53D3">
        <w:rPr>
          <w:rFonts w:ascii="Arial" w:hAnsi="Arial" w:cs="Arial"/>
          <w:lang w:val="en-US"/>
        </w:rPr>
        <w:t>TJ &amp; RC Walsh Pty Ltd [</w:t>
      </w:r>
      <w:r w:rsidRPr="006D1906">
        <w:rPr>
          <w:rFonts w:ascii="Arial" w:hAnsi="Arial" w:cs="Arial"/>
          <w:i w:val="0"/>
          <w:lang w:val="en-US"/>
        </w:rPr>
        <w:t>2013]</w:t>
      </w:r>
      <w:r w:rsidRPr="007E53D3">
        <w:rPr>
          <w:rFonts w:ascii="Arial" w:hAnsi="Arial" w:cs="Arial"/>
          <w:lang w:val="en-US"/>
        </w:rPr>
        <w:t xml:space="preserve"> QCAR 418; Miami Recreational Facilities Pty Ltd [</w:t>
      </w:r>
      <w:r w:rsidRPr="006D1906">
        <w:rPr>
          <w:rFonts w:ascii="Arial" w:hAnsi="Arial" w:cs="Arial"/>
          <w:i w:val="0"/>
          <w:lang w:val="en-US"/>
        </w:rPr>
        <w:t>2013]</w:t>
      </w:r>
      <w:r w:rsidRPr="007E53D3">
        <w:rPr>
          <w:rFonts w:ascii="Arial" w:hAnsi="Arial" w:cs="Arial"/>
          <w:lang w:val="en-US"/>
        </w:rPr>
        <w:t xml:space="preserve"> </w:t>
      </w:r>
      <w:r w:rsidRPr="006D1906">
        <w:rPr>
          <w:rFonts w:ascii="Arial" w:hAnsi="Arial" w:cs="Arial"/>
          <w:i w:val="0"/>
          <w:lang w:val="en-US"/>
        </w:rPr>
        <w:t>QCAT 635.</w:t>
      </w:r>
      <w:proofErr w:type="gramEnd"/>
    </w:p>
  </w:footnote>
  <w:footnote w:id="7">
    <w:p w:rsidR="007447D3" w:rsidRPr="007E53D3" w:rsidRDefault="007447D3" w:rsidP="0028797A">
      <w:pPr>
        <w:pStyle w:val="FootnoteText"/>
        <w:rPr>
          <w:rFonts w:ascii="Arial" w:hAnsi="Arial" w:cs="Arial"/>
          <w:lang w:val="en-US"/>
        </w:rPr>
      </w:pPr>
      <w:r w:rsidRPr="007E53D3">
        <w:rPr>
          <w:rStyle w:val="FootnoteReference"/>
          <w:rFonts w:ascii="Arial" w:hAnsi="Arial" w:cs="Arial"/>
        </w:rPr>
        <w:footnoteRef/>
      </w:r>
      <w:r w:rsidRPr="007E53D3">
        <w:rPr>
          <w:rFonts w:ascii="Arial" w:hAnsi="Arial" w:cs="Arial"/>
        </w:rPr>
        <w:t xml:space="preserve"> </w:t>
      </w:r>
      <w:proofErr w:type="gramStart"/>
      <w:r w:rsidRPr="007E53D3">
        <w:rPr>
          <w:rFonts w:ascii="Arial" w:hAnsi="Arial" w:cs="Arial"/>
        </w:rPr>
        <w:t>GRS Networking Pty Ltd [</w:t>
      </w:r>
      <w:r w:rsidRPr="006D1906">
        <w:rPr>
          <w:rFonts w:ascii="Arial" w:hAnsi="Arial" w:cs="Arial"/>
          <w:i w:val="0"/>
        </w:rPr>
        <w:t>2013</w:t>
      </w:r>
      <w:r w:rsidRPr="007E53D3">
        <w:rPr>
          <w:rFonts w:ascii="Arial" w:hAnsi="Arial" w:cs="Arial"/>
        </w:rPr>
        <w:t xml:space="preserve">] </w:t>
      </w:r>
      <w:r w:rsidRPr="006D1906">
        <w:rPr>
          <w:rFonts w:ascii="Arial" w:hAnsi="Arial" w:cs="Arial"/>
          <w:i w:val="0"/>
        </w:rPr>
        <w:t>QCAT 563</w:t>
      </w:r>
      <w:r w:rsidRPr="007E53D3">
        <w:rPr>
          <w:rFonts w:ascii="Arial" w:hAnsi="Arial" w:cs="Arial"/>
        </w:rPr>
        <w:t>.</w:t>
      </w:r>
      <w:proofErr w:type="gramEnd"/>
    </w:p>
  </w:footnote>
  <w:footnote w:id="8">
    <w:p w:rsidR="007447D3" w:rsidRPr="0065205E" w:rsidRDefault="007447D3" w:rsidP="0028797A">
      <w:pPr>
        <w:pStyle w:val="FootnoteText"/>
        <w:rPr>
          <w:lang w:val="en-US"/>
        </w:rPr>
      </w:pPr>
      <w:r>
        <w:rPr>
          <w:rStyle w:val="FootnoteReference"/>
        </w:rPr>
        <w:footnoteRef/>
      </w:r>
      <w:r>
        <w:t xml:space="preserve"> </w:t>
      </w:r>
      <w:proofErr w:type="gramStart"/>
      <w:r w:rsidRPr="007E53D3">
        <w:rPr>
          <w:rFonts w:ascii="Arial" w:hAnsi="Arial" w:cs="Arial"/>
          <w:lang w:val="en-US"/>
        </w:rPr>
        <w:t xml:space="preserve">Downer EDI Mining Pty Ltd (No. 2) [2013] </w:t>
      </w:r>
      <w:r w:rsidRPr="006D1906">
        <w:rPr>
          <w:rFonts w:ascii="Arial" w:hAnsi="Arial" w:cs="Arial"/>
          <w:i w:val="0"/>
          <w:lang w:val="en-US"/>
        </w:rPr>
        <w:t>QCAT 532.</w:t>
      </w:r>
      <w:proofErr w:type="gramEnd"/>
    </w:p>
  </w:footnote>
  <w:footnote w:id="9">
    <w:p w:rsidR="007447D3" w:rsidRPr="007E53D3" w:rsidRDefault="007447D3" w:rsidP="0028797A">
      <w:pPr>
        <w:pStyle w:val="FootnoteText"/>
        <w:rPr>
          <w:rFonts w:ascii="Arial" w:hAnsi="Arial" w:cs="Arial"/>
          <w:lang w:val="en-US"/>
        </w:rPr>
      </w:pPr>
      <w:r w:rsidRPr="007E53D3">
        <w:rPr>
          <w:rStyle w:val="FootnoteReference"/>
          <w:rFonts w:ascii="Arial" w:hAnsi="Arial" w:cs="Arial"/>
        </w:rPr>
        <w:footnoteRef/>
      </w:r>
      <w:r w:rsidRPr="007E53D3">
        <w:rPr>
          <w:rFonts w:ascii="Arial" w:hAnsi="Arial" w:cs="Arial"/>
        </w:rPr>
        <w:t xml:space="preserve"> </w:t>
      </w:r>
      <w:r w:rsidRPr="007E53D3">
        <w:rPr>
          <w:rFonts w:ascii="Arial" w:hAnsi="Arial" w:cs="Arial"/>
          <w:lang w:val="en-US"/>
        </w:rPr>
        <w:t>Isaac Regional Council [</w:t>
      </w:r>
      <w:r w:rsidRPr="006D1906">
        <w:rPr>
          <w:rFonts w:ascii="Arial" w:hAnsi="Arial" w:cs="Arial"/>
          <w:i w:val="0"/>
          <w:lang w:val="en-US"/>
        </w:rPr>
        <w:t>2013</w:t>
      </w:r>
      <w:r w:rsidRPr="007E53D3">
        <w:rPr>
          <w:rFonts w:ascii="Arial" w:hAnsi="Arial" w:cs="Arial"/>
          <w:lang w:val="en-US"/>
        </w:rPr>
        <w:t xml:space="preserve">] </w:t>
      </w:r>
      <w:r w:rsidRPr="006D1906">
        <w:rPr>
          <w:rFonts w:ascii="Arial" w:hAnsi="Arial" w:cs="Arial"/>
          <w:i w:val="0"/>
          <w:lang w:val="en-US"/>
        </w:rPr>
        <w:t>QCAT 734.</w:t>
      </w:r>
    </w:p>
  </w:footnote>
  <w:footnote w:id="10">
    <w:p w:rsidR="007447D3" w:rsidRPr="007E53D3" w:rsidRDefault="007447D3" w:rsidP="0028797A">
      <w:pPr>
        <w:pStyle w:val="FootnoteText"/>
        <w:rPr>
          <w:rFonts w:ascii="Arial" w:hAnsi="Arial" w:cs="Arial"/>
          <w:lang w:val="en-US"/>
        </w:rPr>
      </w:pPr>
      <w:r w:rsidRPr="007E53D3">
        <w:rPr>
          <w:rStyle w:val="FootnoteReference"/>
          <w:rFonts w:ascii="Arial" w:hAnsi="Arial" w:cs="Arial"/>
        </w:rPr>
        <w:footnoteRef/>
      </w:r>
      <w:r w:rsidRPr="007E53D3">
        <w:rPr>
          <w:rFonts w:ascii="Arial" w:hAnsi="Arial" w:cs="Arial"/>
          <w:lang w:val="en-US"/>
        </w:rPr>
        <w:t xml:space="preserve"> </w:t>
      </w:r>
      <w:proofErr w:type="gramStart"/>
      <w:r w:rsidRPr="007E53D3">
        <w:rPr>
          <w:rFonts w:ascii="Arial" w:hAnsi="Arial" w:cs="Arial"/>
          <w:lang w:val="en-US"/>
        </w:rPr>
        <w:t>National Heart Foundation of Australia [</w:t>
      </w:r>
      <w:r w:rsidRPr="006D1906">
        <w:rPr>
          <w:rFonts w:ascii="Arial" w:hAnsi="Arial" w:cs="Arial"/>
          <w:i w:val="0"/>
          <w:lang w:val="en-US"/>
        </w:rPr>
        <w:t>2014</w:t>
      </w:r>
      <w:r w:rsidRPr="007E53D3">
        <w:rPr>
          <w:rFonts w:ascii="Arial" w:hAnsi="Arial" w:cs="Arial"/>
          <w:lang w:val="en-US"/>
        </w:rPr>
        <w:t xml:space="preserve">] </w:t>
      </w:r>
      <w:r w:rsidRPr="006D1906">
        <w:rPr>
          <w:rFonts w:ascii="Arial" w:hAnsi="Arial" w:cs="Arial"/>
          <w:i w:val="0"/>
          <w:lang w:val="en-US"/>
        </w:rPr>
        <w:t>QCAT 039</w:t>
      </w:r>
      <w:r w:rsidRPr="007E53D3">
        <w:rPr>
          <w:rFonts w:ascii="Arial" w:hAnsi="Arial" w:cs="Arial"/>
          <w:lang w:val="en-US"/>
        </w:rPr>
        <w:t xml:space="preserve">; James </w:t>
      </w:r>
      <w:proofErr w:type="spellStart"/>
      <w:r w:rsidRPr="007E53D3">
        <w:rPr>
          <w:rFonts w:ascii="Arial" w:hAnsi="Arial" w:cs="Arial"/>
          <w:lang w:val="en-US"/>
        </w:rPr>
        <w:t>Frizelle’s</w:t>
      </w:r>
      <w:proofErr w:type="spellEnd"/>
      <w:r w:rsidRPr="007E53D3">
        <w:rPr>
          <w:rFonts w:ascii="Arial" w:hAnsi="Arial" w:cs="Arial"/>
          <w:lang w:val="en-US"/>
        </w:rPr>
        <w:t xml:space="preserve"> Automotive Group [2014] </w:t>
      </w:r>
      <w:r w:rsidRPr="006D1906">
        <w:rPr>
          <w:rFonts w:ascii="Arial" w:hAnsi="Arial" w:cs="Arial"/>
          <w:i w:val="0"/>
          <w:lang w:val="en-US"/>
        </w:rPr>
        <w:t>QCAT 090</w:t>
      </w:r>
      <w:r w:rsidRPr="007E53D3">
        <w:rPr>
          <w:rFonts w:ascii="Arial" w:hAnsi="Arial" w:cs="Arial"/>
          <w:lang w:val="en-US"/>
        </w:rPr>
        <w:t>; Boys Town [</w:t>
      </w:r>
      <w:r w:rsidRPr="006D1906">
        <w:rPr>
          <w:rFonts w:ascii="Arial" w:hAnsi="Arial" w:cs="Arial"/>
          <w:i w:val="0"/>
          <w:lang w:val="en-US"/>
        </w:rPr>
        <w:t>2014</w:t>
      </w:r>
      <w:r w:rsidRPr="007E53D3">
        <w:rPr>
          <w:rFonts w:ascii="Arial" w:hAnsi="Arial" w:cs="Arial"/>
          <w:lang w:val="en-US"/>
        </w:rPr>
        <w:t xml:space="preserve">] </w:t>
      </w:r>
      <w:r w:rsidRPr="006D1906">
        <w:rPr>
          <w:rFonts w:ascii="Arial" w:hAnsi="Arial" w:cs="Arial"/>
          <w:i w:val="0"/>
          <w:lang w:val="en-US"/>
        </w:rPr>
        <w:t>QCAT 247</w:t>
      </w:r>
      <w:r w:rsidRPr="007E53D3">
        <w:rPr>
          <w:rFonts w:ascii="Arial" w:hAnsi="Arial" w:cs="Arial"/>
          <w:lang w:val="en-US"/>
        </w:rPr>
        <w:t>.</w:t>
      </w:r>
      <w:proofErr w:type="gramEnd"/>
    </w:p>
  </w:footnote>
  <w:footnote w:id="11">
    <w:p w:rsidR="007447D3" w:rsidRPr="007E53D3" w:rsidRDefault="007447D3" w:rsidP="0028797A">
      <w:pPr>
        <w:pStyle w:val="FootnoteText"/>
        <w:rPr>
          <w:rFonts w:ascii="Arial" w:hAnsi="Arial" w:cs="Arial"/>
          <w:lang w:val="en-US"/>
        </w:rPr>
      </w:pPr>
      <w:r w:rsidRPr="007E53D3">
        <w:rPr>
          <w:rStyle w:val="FootnoteReference"/>
          <w:rFonts w:ascii="Arial" w:hAnsi="Arial" w:cs="Arial"/>
        </w:rPr>
        <w:footnoteRef/>
      </w:r>
      <w:r w:rsidRPr="007E53D3">
        <w:rPr>
          <w:rFonts w:ascii="Arial" w:hAnsi="Arial" w:cs="Arial"/>
        </w:rPr>
        <w:t xml:space="preserve"> </w:t>
      </w:r>
      <w:proofErr w:type="gramStart"/>
      <w:r w:rsidRPr="007E53D3">
        <w:rPr>
          <w:rFonts w:ascii="Arial" w:hAnsi="Arial" w:cs="Arial"/>
          <w:lang w:val="en-US"/>
        </w:rPr>
        <w:t>ABC Business Australia Pty Ltd [</w:t>
      </w:r>
      <w:r w:rsidRPr="006D1906">
        <w:rPr>
          <w:rFonts w:ascii="Arial" w:hAnsi="Arial" w:cs="Arial"/>
          <w:i w:val="0"/>
          <w:lang w:val="en-US"/>
        </w:rPr>
        <w:t>2013</w:t>
      </w:r>
      <w:r w:rsidRPr="007E53D3">
        <w:rPr>
          <w:rFonts w:ascii="Arial" w:hAnsi="Arial" w:cs="Arial"/>
          <w:lang w:val="en-US"/>
        </w:rPr>
        <w:t xml:space="preserve">] </w:t>
      </w:r>
      <w:r w:rsidRPr="006D1906">
        <w:rPr>
          <w:rFonts w:ascii="Arial" w:hAnsi="Arial" w:cs="Arial"/>
          <w:i w:val="0"/>
          <w:lang w:val="en-US"/>
        </w:rPr>
        <w:t>QCAT 719</w:t>
      </w:r>
      <w:r w:rsidRPr="007E53D3">
        <w:rPr>
          <w:rFonts w:ascii="Arial" w:hAnsi="Arial" w:cs="Arial"/>
          <w:lang w:val="en-US"/>
        </w:rPr>
        <w:t>.</w:t>
      </w:r>
      <w:proofErr w:type="gramEnd"/>
    </w:p>
  </w:footnote>
  <w:footnote w:id="12">
    <w:p w:rsidR="007447D3" w:rsidRPr="00E6452B" w:rsidRDefault="007447D3" w:rsidP="0028797A">
      <w:pPr>
        <w:pStyle w:val="FootnoteText"/>
        <w:rPr>
          <w:rFonts w:ascii="Arial" w:hAnsi="Arial" w:cs="Arial"/>
          <w:lang w:val="en-US"/>
        </w:rPr>
      </w:pPr>
      <w:r w:rsidRPr="00E6452B">
        <w:rPr>
          <w:rStyle w:val="FootnoteReference"/>
          <w:rFonts w:ascii="Arial" w:hAnsi="Arial" w:cs="Arial"/>
        </w:rPr>
        <w:footnoteRef/>
      </w:r>
      <w:r w:rsidRPr="00E6452B">
        <w:rPr>
          <w:rFonts w:ascii="Arial" w:hAnsi="Arial" w:cs="Arial"/>
        </w:rPr>
        <w:t xml:space="preserve"> </w:t>
      </w:r>
      <w:proofErr w:type="gramStart"/>
      <w:r w:rsidRPr="00E6452B">
        <w:rPr>
          <w:rFonts w:ascii="Arial" w:hAnsi="Arial" w:cs="Arial"/>
          <w:lang w:val="en-US"/>
        </w:rPr>
        <w:t>Downer EDI Mining [</w:t>
      </w:r>
      <w:r w:rsidRPr="006D1906">
        <w:rPr>
          <w:rFonts w:ascii="Arial" w:hAnsi="Arial" w:cs="Arial"/>
          <w:i w:val="0"/>
          <w:lang w:val="en-US"/>
        </w:rPr>
        <w:t>2013</w:t>
      </w:r>
      <w:r w:rsidRPr="00E6452B">
        <w:rPr>
          <w:rFonts w:ascii="Arial" w:hAnsi="Arial" w:cs="Arial"/>
          <w:lang w:val="en-US"/>
        </w:rPr>
        <w:t xml:space="preserve">] </w:t>
      </w:r>
      <w:r w:rsidRPr="006D1906">
        <w:rPr>
          <w:rFonts w:ascii="Arial" w:hAnsi="Arial" w:cs="Arial"/>
          <w:i w:val="0"/>
          <w:lang w:val="en-US"/>
        </w:rPr>
        <w:t>QCATA 276.</w:t>
      </w:r>
      <w:proofErr w:type="gramEnd"/>
    </w:p>
  </w:footnote>
  <w:footnote w:id="13">
    <w:p w:rsidR="007447D3" w:rsidRPr="00A73B26" w:rsidRDefault="007447D3" w:rsidP="0028797A">
      <w:pPr>
        <w:pStyle w:val="FootnoteText"/>
        <w:rPr>
          <w:rFonts w:ascii="Arial" w:hAnsi="Arial" w:cs="Arial"/>
          <w:lang w:val="en-US"/>
        </w:rPr>
      </w:pPr>
      <w:r w:rsidRPr="00A73B26">
        <w:rPr>
          <w:rStyle w:val="FootnoteReference"/>
          <w:rFonts w:ascii="Arial" w:hAnsi="Arial" w:cs="Arial"/>
        </w:rPr>
        <w:footnoteRef/>
      </w:r>
      <w:r w:rsidRPr="00A73B26">
        <w:rPr>
          <w:rFonts w:ascii="Arial" w:hAnsi="Arial" w:cs="Arial"/>
        </w:rPr>
        <w:t xml:space="preserve"> </w:t>
      </w:r>
      <w:proofErr w:type="gramStart"/>
      <w:r w:rsidRPr="00A73B26">
        <w:rPr>
          <w:rFonts w:ascii="Arial" w:hAnsi="Arial" w:cs="Arial"/>
          <w:lang w:val="en-US"/>
        </w:rPr>
        <w:t>Qantas Airways Ltd v Christie (1998) 193 CLR 280; and X v The Commonwealth (1999) 200 CLR 177.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DEA"/>
    <w:multiLevelType w:val="hybridMultilevel"/>
    <w:tmpl w:val="0A1071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E62B47"/>
    <w:multiLevelType w:val="hybridMultilevel"/>
    <w:tmpl w:val="D3365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35727B"/>
    <w:multiLevelType w:val="hybridMultilevel"/>
    <w:tmpl w:val="7228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nsid w:val="09A64AE4"/>
    <w:multiLevelType w:val="multilevel"/>
    <w:tmpl w:val="0C09001D"/>
    <w:numStyleLink w:val="DPEstimates"/>
  </w:abstractNum>
  <w:abstractNum w:abstractNumId="5">
    <w:nsid w:val="0BD51CBF"/>
    <w:multiLevelType w:val="hybridMultilevel"/>
    <w:tmpl w:val="F0BC0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304E76"/>
    <w:multiLevelType w:val="hybridMultilevel"/>
    <w:tmpl w:val="9BA0C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DE4577"/>
    <w:multiLevelType w:val="hybridMultilevel"/>
    <w:tmpl w:val="1B526A0A"/>
    <w:lvl w:ilvl="0" w:tplc="B992AE66">
      <w:start w:val="1"/>
      <w:numFmt w:val="decimal"/>
      <w:lvlText w:val="%1."/>
      <w:lvlJc w:val="left"/>
      <w:pPr>
        <w:ind w:left="720" w:hanging="360"/>
      </w:pPr>
      <w:rPr>
        <w:sz w:val="24"/>
        <w:szCs w:val="24"/>
      </w:rPr>
    </w:lvl>
    <w:lvl w:ilvl="1" w:tplc="854C4EFA">
      <w:start w:val="1"/>
      <w:numFmt w:val="lowerLetter"/>
      <w:lvlText w:val="(%2)"/>
      <w:lvlJc w:val="left"/>
      <w:pPr>
        <w:ind w:left="1440" w:hanging="360"/>
      </w:pPr>
      <w:rPr>
        <w:rFonts w:ascii="Arial" w:hAnsi="Aria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326DCB"/>
    <w:multiLevelType w:val="hybridMultilevel"/>
    <w:tmpl w:val="97A2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303C95"/>
    <w:multiLevelType w:val="hybridMultilevel"/>
    <w:tmpl w:val="D264D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340054"/>
    <w:multiLevelType w:val="hybridMultilevel"/>
    <w:tmpl w:val="7AF0E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7F0598"/>
    <w:multiLevelType w:val="hybridMultilevel"/>
    <w:tmpl w:val="A0DA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B13685"/>
    <w:multiLevelType w:val="hybridMultilevel"/>
    <w:tmpl w:val="75B6391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28FD2A56"/>
    <w:multiLevelType w:val="hybridMultilevel"/>
    <w:tmpl w:val="9AF2A83C"/>
    <w:lvl w:ilvl="0" w:tplc="986E2EE4">
      <w:start w:val="1"/>
      <w:numFmt w:val="decimal"/>
      <w:lvlText w:val="%1."/>
      <w:lvlJc w:val="left"/>
      <w:pPr>
        <w:tabs>
          <w:tab w:val="num" w:pos="360"/>
        </w:tabs>
        <w:ind w:left="360" w:hanging="360"/>
      </w:pPr>
      <w:rPr>
        <w:rFonts w:ascii="Arial" w:hAnsi="Arial" w:cs="Times New Roman"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B840E6"/>
    <w:multiLevelType w:val="hybridMultilevel"/>
    <w:tmpl w:val="DECE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802654"/>
    <w:multiLevelType w:val="multilevel"/>
    <w:tmpl w:val="0C09001D"/>
    <w:styleLink w:val="DPEstimates"/>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ourier New" w:hAnsi="Courier New" w:hint="default"/>
        <w:sz w:val="32"/>
      </w:rPr>
    </w:lvl>
    <w:lvl w:ilvl="2">
      <w:start w:val="1"/>
      <w:numFmt w:val="bullet"/>
      <w:lvlText w:val=""/>
      <w:lvlJc w:val="left"/>
      <w:pPr>
        <w:tabs>
          <w:tab w:val="num" w:pos="1080"/>
        </w:tabs>
        <w:ind w:left="1080" w:hanging="360"/>
      </w:pPr>
      <w:rPr>
        <w:rFonts w:ascii="Wingdings" w:hAnsi="Wingdings" w:hint="default"/>
        <w:sz w:val="3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6E7ED6"/>
    <w:multiLevelType w:val="hybridMultilevel"/>
    <w:tmpl w:val="36D4B554"/>
    <w:lvl w:ilvl="0" w:tplc="5D864BBE">
      <w:start w:val="1"/>
      <w:numFmt w:val="bullet"/>
      <w:lvlText w:val=""/>
      <w:lvlJc w:val="left"/>
      <w:pPr>
        <w:tabs>
          <w:tab w:val="num" w:pos="567"/>
        </w:tabs>
        <w:ind w:left="567" w:hanging="567"/>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EE7B6C"/>
    <w:multiLevelType w:val="hybridMultilevel"/>
    <w:tmpl w:val="4CB41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D37C44"/>
    <w:multiLevelType w:val="hybridMultilevel"/>
    <w:tmpl w:val="58C2A7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44536F47"/>
    <w:multiLevelType w:val="hybridMultilevel"/>
    <w:tmpl w:val="9D044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1">
    <w:nsid w:val="475137A6"/>
    <w:multiLevelType w:val="hybridMultilevel"/>
    <w:tmpl w:val="411C5504"/>
    <w:lvl w:ilvl="0" w:tplc="5F7EE898">
      <w:start w:val="1"/>
      <w:numFmt w:val="bullet"/>
      <w:lvlText w:val=""/>
      <w:lvlJc w:val="left"/>
      <w:pPr>
        <w:tabs>
          <w:tab w:val="num" w:pos="567"/>
        </w:tabs>
        <w:ind w:left="567" w:hanging="567"/>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1A0CDA"/>
    <w:multiLevelType w:val="hybridMultilevel"/>
    <w:tmpl w:val="A502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AA7C70"/>
    <w:multiLevelType w:val="hybridMultilevel"/>
    <w:tmpl w:val="43324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035F10"/>
    <w:multiLevelType w:val="hybridMultilevel"/>
    <w:tmpl w:val="73923B58"/>
    <w:lvl w:ilvl="0" w:tplc="0C090001">
      <w:start w:val="1"/>
      <w:numFmt w:val="bullet"/>
      <w:pStyle w:val="tex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ヒラギノ角ゴ Pro W3"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ヒラギノ角ゴ Pro W3"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ヒラギノ角ゴ Pro W3"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F140029"/>
    <w:multiLevelType w:val="hybridMultilevel"/>
    <w:tmpl w:val="C0421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6A40D9"/>
    <w:multiLevelType w:val="hybridMultilevel"/>
    <w:tmpl w:val="FCB43B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17784A"/>
    <w:multiLevelType w:val="hybridMultilevel"/>
    <w:tmpl w:val="57106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D34253"/>
    <w:multiLevelType w:val="hybridMultilevel"/>
    <w:tmpl w:val="7D243E96"/>
    <w:lvl w:ilvl="0" w:tplc="FC0867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A1D4818"/>
    <w:multiLevelType w:val="hybridMultilevel"/>
    <w:tmpl w:val="30DC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6D1E7F"/>
    <w:multiLevelType w:val="hybridMultilevel"/>
    <w:tmpl w:val="710AFCAA"/>
    <w:lvl w:ilvl="0" w:tplc="FC086726">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ヒラギノ角ゴ Pro W3"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ヒラギノ角ゴ Pro W3"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ヒラギノ角ゴ Pro W3"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5D2B135C"/>
    <w:multiLevelType w:val="hybridMultilevel"/>
    <w:tmpl w:val="854640F2"/>
    <w:lvl w:ilvl="0" w:tplc="0C09000F">
      <w:start w:val="1"/>
      <w:numFmt w:val="decimal"/>
      <w:lvlText w:val="%1."/>
      <w:lvlJc w:val="left"/>
      <w:pPr>
        <w:tabs>
          <w:tab w:val="num" w:pos="1146"/>
        </w:tabs>
        <w:ind w:left="1146" w:hanging="360"/>
      </w:p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abstractNum w:abstractNumId="32">
    <w:nsid w:val="60F27806"/>
    <w:multiLevelType w:val="hybridMultilevel"/>
    <w:tmpl w:val="BB68F7C2"/>
    <w:lvl w:ilvl="0" w:tplc="53FAF988">
      <w:start w:val="1"/>
      <w:numFmt w:val="bullet"/>
      <w:lvlText w:val=""/>
      <w:lvlJc w:val="left"/>
      <w:pPr>
        <w:tabs>
          <w:tab w:val="num" w:pos="360"/>
        </w:tabs>
        <w:ind w:left="360" w:hanging="360"/>
      </w:pPr>
      <w:rPr>
        <w:rFonts w:ascii="Symbol" w:hAnsi="Symbol" w:cs="Courier New"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35A38D3"/>
    <w:multiLevelType w:val="hybridMultilevel"/>
    <w:tmpl w:val="A18E6650"/>
    <w:lvl w:ilvl="0" w:tplc="695A0DC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DF31FA"/>
    <w:multiLevelType w:val="hybridMultilevel"/>
    <w:tmpl w:val="17D6B878"/>
    <w:lvl w:ilvl="0" w:tplc="60E48C6A">
      <w:start w:val="1"/>
      <w:numFmt w:val="bullet"/>
      <w:lvlText w:val=""/>
      <w:lvlJc w:val="left"/>
      <w:pPr>
        <w:tabs>
          <w:tab w:val="num" w:pos="567"/>
        </w:tabs>
        <w:ind w:left="567" w:hanging="567"/>
      </w:pPr>
      <w:rPr>
        <w:rFonts w:ascii="Symbol" w:hAnsi="Symbol"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BF84969"/>
    <w:multiLevelType w:val="hybridMultilevel"/>
    <w:tmpl w:val="F3CEEE30"/>
    <w:lvl w:ilvl="0" w:tplc="158E56D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C1F3851"/>
    <w:multiLevelType w:val="hybridMultilevel"/>
    <w:tmpl w:val="860631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nsid w:val="6F5D1CA8"/>
    <w:multiLevelType w:val="hybridMultilevel"/>
    <w:tmpl w:val="D03E7B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8">
    <w:nsid w:val="75365D36"/>
    <w:multiLevelType w:val="hybridMultilevel"/>
    <w:tmpl w:val="00B0BCA6"/>
    <w:lvl w:ilvl="0" w:tplc="53FAF988">
      <w:start w:val="1"/>
      <w:numFmt w:val="bullet"/>
      <w:lvlText w:val=""/>
      <w:lvlJc w:val="left"/>
      <w:pPr>
        <w:tabs>
          <w:tab w:val="num" w:pos="360"/>
        </w:tabs>
        <w:ind w:left="360" w:hanging="360"/>
      </w:pPr>
      <w:rPr>
        <w:rFonts w:ascii="Symbol" w:hAnsi="Symbol" w:cs="Courier New" w:hint="default"/>
        <w:sz w:val="16"/>
      </w:rPr>
    </w:lvl>
    <w:lvl w:ilvl="1" w:tplc="0C090003" w:tentative="1">
      <w:start w:val="1"/>
      <w:numFmt w:val="bullet"/>
      <w:lvlText w:val="o"/>
      <w:lvlJc w:val="left"/>
      <w:pPr>
        <w:tabs>
          <w:tab w:val="num" w:pos="783"/>
        </w:tabs>
        <w:ind w:left="783" w:hanging="360"/>
      </w:pPr>
      <w:rPr>
        <w:rFonts w:ascii="Courier New" w:hAnsi="Courier New" w:hint="default"/>
      </w:rPr>
    </w:lvl>
    <w:lvl w:ilvl="2" w:tplc="0C090005" w:tentative="1">
      <w:start w:val="1"/>
      <w:numFmt w:val="bullet"/>
      <w:lvlText w:val=""/>
      <w:lvlJc w:val="left"/>
      <w:pPr>
        <w:tabs>
          <w:tab w:val="num" w:pos="1503"/>
        </w:tabs>
        <w:ind w:left="1503" w:hanging="360"/>
      </w:pPr>
      <w:rPr>
        <w:rFonts w:ascii="Wingdings" w:hAnsi="Wingdings" w:hint="default"/>
      </w:rPr>
    </w:lvl>
    <w:lvl w:ilvl="3" w:tplc="0C090001" w:tentative="1">
      <w:start w:val="1"/>
      <w:numFmt w:val="bullet"/>
      <w:lvlText w:val=""/>
      <w:lvlJc w:val="left"/>
      <w:pPr>
        <w:tabs>
          <w:tab w:val="num" w:pos="2223"/>
        </w:tabs>
        <w:ind w:left="2223" w:hanging="360"/>
      </w:pPr>
      <w:rPr>
        <w:rFonts w:ascii="Symbol" w:hAnsi="Symbol" w:hint="default"/>
      </w:rPr>
    </w:lvl>
    <w:lvl w:ilvl="4" w:tplc="0C090003" w:tentative="1">
      <w:start w:val="1"/>
      <w:numFmt w:val="bullet"/>
      <w:lvlText w:val="o"/>
      <w:lvlJc w:val="left"/>
      <w:pPr>
        <w:tabs>
          <w:tab w:val="num" w:pos="2943"/>
        </w:tabs>
        <w:ind w:left="2943" w:hanging="360"/>
      </w:pPr>
      <w:rPr>
        <w:rFonts w:ascii="Courier New" w:hAnsi="Courier New" w:hint="default"/>
      </w:rPr>
    </w:lvl>
    <w:lvl w:ilvl="5" w:tplc="0C090005" w:tentative="1">
      <w:start w:val="1"/>
      <w:numFmt w:val="bullet"/>
      <w:lvlText w:val=""/>
      <w:lvlJc w:val="left"/>
      <w:pPr>
        <w:tabs>
          <w:tab w:val="num" w:pos="3663"/>
        </w:tabs>
        <w:ind w:left="3663" w:hanging="360"/>
      </w:pPr>
      <w:rPr>
        <w:rFonts w:ascii="Wingdings" w:hAnsi="Wingdings" w:hint="default"/>
      </w:rPr>
    </w:lvl>
    <w:lvl w:ilvl="6" w:tplc="0C090001" w:tentative="1">
      <w:start w:val="1"/>
      <w:numFmt w:val="bullet"/>
      <w:lvlText w:val=""/>
      <w:lvlJc w:val="left"/>
      <w:pPr>
        <w:tabs>
          <w:tab w:val="num" w:pos="4383"/>
        </w:tabs>
        <w:ind w:left="4383" w:hanging="360"/>
      </w:pPr>
      <w:rPr>
        <w:rFonts w:ascii="Symbol" w:hAnsi="Symbol" w:hint="default"/>
      </w:rPr>
    </w:lvl>
    <w:lvl w:ilvl="7" w:tplc="0C090003" w:tentative="1">
      <w:start w:val="1"/>
      <w:numFmt w:val="bullet"/>
      <w:lvlText w:val="o"/>
      <w:lvlJc w:val="left"/>
      <w:pPr>
        <w:tabs>
          <w:tab w:val="num" w:pos="5103"/>
        </w:tabs>
        <w:ind w:left="5103" w:hanging="360"/>
      </w:pPr>
      <w:rPr>
        <w:rFonts w:ascii="Courier New" w:hAnsi="Courier New" w:hint="default"/>
      </w:rPr>
    </w:lvl>
    <w:lvl w:ilvl="8" w:tplc="0C090005" w:tentative="1">
      <w:start w:val="1"/>
      <w:numFmt w:val="bullet"/>
      <w:lvlText w:val=""/>
      <w:lvlJc w:val="left"/>
      <w:pPr>
        <w:tabs>
          <w:tab w:val="num" w:pos="5823"/>
        </w:tabs>
        <w:ind w:left="5823" w:hanging="360"/>
      </w:pPr>
      <w:rPr>
        <w:rFonts w:ascii="Wingdings" w:hAnsi="Wingdings" w:hint="default"/>
      </w:rPr>
    </w:lvl>
  </w:abstractNum>
  <w:abstractNum w:abstractNumId="39">
    <w:nsid w:val="753C5748"/>
    <w:multiLevelType w:val="hybridMultilevel"/>
    <w:tmpl w:val="948C5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796EFC"/>
    <w:multiLevelType w:val="hybridMultilevel"/>
    <w:tmpl w:val="35D20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BB4B2A"/>
    <w:multiLevelType w:val="hybridMultilevel"/>
    <w:tmpl w:val="C0504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32"/>
  </w:num>
  <w:num w:numId="4">
    <w:abstractNumId w:val="38"/>
  </w:num>
  <w:num w:numId="5">
    <w:abstractNumId w:val="5"/>
  </w:num>
  <w:num w:numId="6">
    <w:abstractNumId w:val="20"/>
  </w:num>
  <w:num w:numId="7">
    <w:abstractNumId w:val="33"/>
  </w:num>
  <w:num w:numId="8">
    <w:abstractNumId w:val="13"/>
  </w:num>
  <w:num w:numId="9">
    <w:abstractNumId w:val="24"/>
  </w:num>
  <w:num w:numId="10">
    <w:abstractNumId w:val="7"/>
  </w:num>
  <w:num w:numId="11">
    <w:abstractNumId w:val="11"/>
  </w:num>
  <w:num w:numId="12">
    <w:abstractNumId w:val="23"/>
  </w:num>
  <w:num w:numId="13">
    <w:abstractNumId w:val="30"/>
  </w:num>
  <w:num w:numId="14">
    <w:abstractNumId w:val="28"/>
  </w:num>
  <w:num w:numId="15">
    <w:abstractNumId w:val="39"/>
  </w:num>
  <w:num w:numId="16">
    <w:abstractNumId w:val="5"/>
  </w:num>
  <w:num w:numId="17">
    <w:abstractNumId w:val="1"/>
  </w:num>
  <w:num w:numId="18">
    <w:abstractNumId w:val="37"/>
  </w:num>
  <w:num w:numId="19">
    <w:abstractNumId w:val="27"/>
  </w:num>
  <w:num w:numId="20">
    <w:abstractNumId w:val="36"/>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15"/>
  </w:num>
  <w:num w:numId="26">
    <w:abstractNumId w:val="25"/>
  </w:num>
  <w:num w:numId="27">
    <w:abstractNumId w:val="41"/>
  </w:num>
  <w:num w:numId="28">
    <w:abstractNumId w:val="21"/>
  </w:num>
  <w:num w:numId="29">
    <w:abstractNumId w:val="17"/>
  </w:num>
  <w:num w:numId="30">
    <w:abstractNumId w:val="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0"/>
  </w:num>
  <w:num w:numId="34">
    <w:abstractNumId w:val="29"/>
  </w:num>
  <w:num w:numId="35">
    <w:abstractNumId w:val="40"/>
  </w:num>
  <w:num w:numId="36">
    <w:abstractNumId w:val="2"/>
  </w:num>
  <w:num w:numId="37">
    <w:abstractNumId w:val="19"/>
  </w:num>
  <w:num w:numId="38">
    <w:abstractNumId w:val="34"/>
  </w:num>
  <w:num w:numId="39">
    <w:abstractNumId w:val="22"/>
  </w:num>
  <w:num w:numId="40">
    <w:abstractNumId w:val="9"/>
  </w:num>
  <w:num w:numId="41">
    <w:abstractNumId w:val="14"/>
  </w:num>
  <w:num w:numId="42">
    <w:abstractNumId w:val="12"/>
  </w:num>
  <w:num w:numId="4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D0843B0-B54A-4909-B502-988694FAEE17}"/>
    <w:docVar w:name="dgnword-eventsink" w:val="90660744"/>
  </w:docVars>
  <w:rsids>
    <w:rsidRoot w:val="006A73AA"/>
    <w:rsid w:val="000013BB"/>
    <w:rsid w:val="0000430C"/>
    <w:rsid w:val="00012727"/>
    <w:rsid w:val="00013D9C"/>
    <w:rsid w:val="00016E67"/>
    <w:rsid w:val="000228C3"/>
    <w:rsid w:val="00022DC2"/>
    <w:rsid w:val="00022E35"/>
    <w:rsid w:val="00026CD8"/>
    <w:rsid w:val="00036A65"/>
    <w:rsid w:val="00037FF6"/>
    <w:rsid w:val="00041B6F"/>
    <w:rsid w:val="00044572"/>
    <w:rsid w:val="00045BF0"/>
    <w:rsid w:val="000479A8"/>
    <w:rsid w:val="000531ED"/>
    <w:rsid w:val="00060647"/>
    <w:rsid w:val="000634E2"/>
    <w:rsid w:val="00065025"/>
    <w:rsid w:val="00065E07"/>
    <w:rsid w:val="00066FF2"/>
    <w:rsid w:val="00072F73"/>
    <w:rsid w:val="0007682E"/>
    <w:rsid w:val="0008032D"/>
    <w:rsid w:val="00080DE8"/>
    <w:rsid w:val="0008758E"/>
    <w:rsid w:val="00087C1A"/>
    <w:rsid w:val="00090DC7"/>
    <w:rsid w:val="00090E35"/>
    <w:rsid w:val="00096602"/>
    <w:rsid w:val="000A5F68"/>
    <w:rsid w:val="000A6442"/>
    <w:rsid w:val="000A6482"/>
    <w:rsid w:val="000B0E26"/>
    <w:rsid w:val="000B3FCF"/>
    <w:rsid w:val="000B696A"/>
    <w:rsid w:val="000C3D67"/>
    <w:rsid w:val="000C4DAE"/>
    <w:rsid w:val="000C528D"/>
    <w:rsid w:val="000D3BBE"/>
    <w:rsid w:val="000D663B"/>
    <w:rsid w:val="000E02B6"/>
    <w:rsid w:val="000E51EC"/>
    <w:rsid w:val="000E6AEB"/>
    <w:rsid w:val="000F0A6A"/>
    <w:rsid w:val="000F45F4"/>
    <w:rsid w:val="000F6946"/>
    <w:rsid w:val="00101719"/>
    <w:rsid w:val="00111CB1"/>
    <w:rsid w:val="00111CFF"/>
    <w:rsid w:val="00112C72"/>
    <w:rsid w:val="00112E7F"/>
    <w:rsid w:val="00113415"/>
    <w:rsid w:val="001142C2"/>
    <w:rsid w:val="00116F24"/>
    <w:rsid w:val="0012142A"/>
    <w:rsid w:val="001222B3"/>
    <w:rsid w:val="001253DA"/>
    <w:rsid w:val="00135021"/>
    <w:rsid w:val="00135540"/>
    <w:rsid w:val="00142421"/>
    <w:rsid w:val="001434A9"/>
    <w:rsid w:val="00143BCA"/>
    <w:rsid w:val="00146733"/>
    <w:rsid w:val="00147008"/>
    <w:rsid w:val="00151863"/>
    <w:rsid w:val="00152CAF"/>
    <w:rsid w:val="00153216"/>
    <w:rsid w:val="00154973"/>
    <w:rsid w:val="00154A4D"/>
    <w:rsid w:val="001652C8"/>
    <w:rsid w:val="0016782E"/>
    <w:rsid w:val="00167A2C"/>
    <w:rsid w:val="00172EC6"/>
    <w:rsid w:val="001755A5"/>
    <w:rsid w:val="00175735"/>
    <w:rsid w:val="00177728"/>
    <w:rsid w:val="001810A6"/>
    <w:rsid w:val="001826BD"/>
    <w:rsid w:val="00182FBF"/>
    <w:rsid w:val="0018390D"/>
    <w:rsid w:val="00186D53"/>
    <w:rsid w:val="00190AE2"/>
    <w:rsid w:val="00192B54"/>
    <w:rsid w:val="00193378"/>
    <w:rsid w:val="00193854"/>
    <w:rsid w:val="0019492F"/>
    <w:rsid w:val="00194CAE"/>
    <w:rsid w:val="0019540E"/>
    <w:rsid w:val="0019753B"/>
    <w:rsid w:val="001A1133"/>
    <w:rsid w:val="001A23E8"/>
    <w:rsid w:val="001A4D2E"/>
    <w:rsid w:val="001A63DA"/>
    <w:rsid w:val="001B3D5C"/>
    <w:rsid w:val="001B6438"/>
    <w:rsid w:val="001C0134"/>
    <w:rsid w:val="001C1CD4"/>
    <w:rsid w:val="001C53F6"/>
    <w:rsid w:val="001C56C1"/>
    <w:rsid w:val="001C6793"/>
    <w:rsid w:val="001D1C78"/>
    <w:rsid w:val="001D5C48"/>
    <w:rsid w:val="001D65BC"/>
    <w:rsid w:val="001D6A41"/>
    <w:rsid w:val="001E51CE"/>
    <w:rsid w:val="001E6626"/>
    <w:rsid w:val="001F2B2C"/>
    <w:rsid w:val="001F5D8E"/>
    <w:rsid w:val="001F7859"/>
    <w:rsid w:val="001F7FE3"/>
    <w:rsid w:val="00206A8B"/>
    <w:rsid w:val="00210592"/>
    <w:rsid w:val="00213048"/>
    <w:rsid w:val="00215B22"/>
    <w:rsid w:val="00216388"/>
    <w:rsid w:val="00216C79"/>
    <w:rsid w:val="0021773F"/>
    <w:rsid w:val="00217877"/>
    <w:rsid w:val="00221A0E"/>
    <w:rsid w:val="00224E32"/>
    <w:rsid w:val="00231890"/>
    <w:rsid w:val="002329E3"/>
    <w:rsid w:val="002349C1"/>
    <w:rsid w:val="002355BE"/>
    <w:rsid w:val="002362C0"/>
    <w:rsid w:val="00237279"/>
    <w:rsid w:val="0023773A"/>
    <w:rsid w:val="00240670"/>
    <w:rsid w:val="0025037E"/>
    <w:rsid w:val="00251E64"/>
    <w:rsid w:val="00252E1E"/>
    <w:rsid w:val="002544A6"/>
    <w:rsid w:val="00262775"/>
    <w:rsid w:val="00262B97"/>
    <w:rsid w:val="002666BA"/>
    <w:rsid w:val="0026698B"/>
    <w:rsid w:val="00276732"/>
    <w:rsid w:val="00281685"/>
    <w:rsid w:val="00284D78"/>
    <w:rsid w:val="002877CF"/>
    <w:rsid w:val="0028797A"/>
    <w:rsid w:val="00290988"/>
    <w:rsid w:val="002A0F92"/>
    <w:rsid w:val="002A3EB7"/>
    <w:rsid w:val="002A50D5"/>
    <w:rsid w:val="002A7E01"/>
    <w:rsid w:val="002B29D0"/>
    <w:rsid w:val="002B6B3E"/>
    <w:rsid w:val="002C10F4"/>
    <w:rsid w:val="002C3E0B"/>
    <w:rsid w:val="002C413F"/>
    <w:rsid w:val="002C5AF9"/>
    <w:rsid w:val="002D29F9"/>
    <w:rsid w:val="002D4598"/>
    <w:rsid w:val="002E182C"/>
    <w:rsid w:val="002E1A1E"/>
    <w:rsid w:val="002E27F8"/>
    <w:rsid w:val="002F1222"/>
    <w:rsid w:val="002F3BB0"/>
    <w:rsid w:val="00301C4C"/>
    <w:rsid w:val="00303CDD"/>
    <w:rsid w:val="00306487"/>
    <w:rsid w:val="0030686C"/>
    <w:rsid w:val="00311BB3"/>
    <w:rsid w:val="0031490F"/>
    <w:rsid w:val="0031701D"/>
    <w:rsid w:val="003223BA"/>
    <w:rsid w:val="00323356"/>
    <w:rsid w:val="003243FE"/>
    <w:rsid w:val="003275D2"/>
    <w:rsid w:val="0033101E"/>
    <w:rsid w:val="003327FA"/>
    <w:rsid w:val="00333176"/>
    <w:rsid w:val="0033521F"/>
    <w:rsid w:val="00336E7E"/>
    <w:rsid w:val="00347951"/>
    <w:rsid w:val="00351C20"/>
    <w:rsid w:val="0035281D"/>
    <w:rsid w:val="00356143"/>
    <w:rsid w:val="0035643F"/>
    <w:rsid w:val="003638FA"/>
    <w:rsid w:val="003640E9"/>
    <w:rsid w:val="0036644B"/>
    <w:rsid w:val="00371A03"/>
    <w:rsid w:val="00372DB5"/>
    <w:rsid w:val="00376BA1"/>
    <w:rsid w:val="003928DB"/>
    <w:rsid w:val="00396184"/>
    <w:rsid w:val="003A7382"/>
    <w:rsid w:val="003B4017"/>
    <w:rsid w:val="003C0824"/>
    <w:rsid w:val="003C415D"/>
    <w:rsid w:val="003D1DC2"/>
    <w:rsid w:val="003D4AF2"/>
    <w:rsid w:val="003D4E62"/>
    <w:rsid w:val="003E32BB"/>
    <w:rsid w:val="003E4476"/>
    <w:rsid w:val="003E562A"/>
    <w:rsid w:val="003E64E9"/>
    <w:rsid w:val="003E7900"/>
    <w:rsid w:val="003E7F73"/>
    <w:rsid w:val="003F690C"/>
    <w:rsid w:val="003F7BBB"/>
    <w:rsid w:val="00400EE1"/>
    <w:rsid w:val="0040262E"/>
    <w:rsid w:val="00403921"/>
    <w:rsid w:val="00404628"/>
    <w:rsid w:val="00404B9D"/>
    <w:rsid w:val="004052EB"/>
    <w:rsid w:val="00406669"/>
    <w:rsid w:val="004107B1"/>
    <w:rsid w:val="00416245"/>
    <w:rsid w:val="00416266"/>
    <w:rsid w:val="0041733A"/>
    <w:rsid w:val="00417402"/>
    <w:rsid w:val="004174D0"/>
    <w:rsid w:val="004178A9"/>
    <w:rsid w:val="004209D7"/>
    <w:rsid w:val="00425BA7"/>
    <w:rsid w:val="00426761"/>
    <w:rsid w:val="00427CE8"/>
    <w:rsid w:val="004352B1"/>
    <w:rsid w:val="0043542A"/>
    <w:rsid w:val="00437BD9"/>
    <w:rsid w:val="00440A07"/>
    <w:rsid w:val="004475B5"/>
    <w:rsid w:val="004553A5"/>
    <w:rsid w:val="00457B20"/>
    <w:rsid w:val="0046371D"/>
    <w:rsid w:val="00465BB2"/>
    <w:rsid w:val="00465EB9"/>
    <w:rsid w:val="00466152"/>
    <w:rsid w:val="00480295"/>
    <w:rsid w:val="004818CE"/>
    <w:rsid w:val="004820D7"/>
    <w:rsid w:val="00482586"/>
    <w:rsid w:val="00485BBE"/>
    <w:rsid w:val="0048622E"/>
    <w:rsid w:val="00486FEB"/>
    <w:rsid w:val="0048759D"/>
    <w:rsid w:val="00487E2B"/>
    <w:rsid w:val="004919B4"/>
    <w:rsid w:val="00492C5B"/>
    <w:rsid w:val="00494700"/>
    <w:rsid w:val="004965F5"/>
    <w:rsid w:val="00496EA2"/>
    <w:rsid w:val="004A0247"/>
    <w:rsid w:val="004A1644"/>
    <w:rsid w:val="004A4A6B"/>
    <w:rsid w:val="004B1EE7"/>
    <w:rsid w:val="004B42DF"/>
    <w:rsid w:val="004B6922"/>
    <w:rsid w:val="004B74DE"/>
    <w:rsid w:val="004B758D"/>
    <w:rsid w:val="004C2499"/>
    <w:rsid w:val="004C2DED"/>
    <w:rsid w:val="004C3C39"/>
    <w:rsid w:val="004E0273"/>
    <w:rsid w:val="004E036A"/>
    <w:rsid w:val="004E7293"/>
    <w:rsid w:val="004F0720"/>
    <w:rsid w:val="004F08FB"/>
    <w:rsid w:val="004F0917"/>
    <w:rsid w:val="004F1B65"/>
    <w:rsid w:val="004F1C55"/>
    <w:rsid w:val="004F211D"/>
    <w:rsid w:val="005039E8"/>
    <w:rsid w:val="00505CEC"/>
    <w:rsid w:val="00514A18"/>
    <w:rsid w:val="005168EB"/>
    <w:rsid w:val="0052062B"/>
    <w:rsid w:val="00522EE6"/>
    <w:rsid w:val="0053224F"/>
    <w:rsid w:val="00542247"/>
    <w:rsid w:val="00543A97"/>
    <w:rsid w:val="00543B11"/>
    <w:rsid w:val="005475D2"/>
    <w:rsid w:val="00552633"/>
    <w:rsid w:val="00555854"/>
    <w:rsid w:val="00556384"/>
    <w:rsid w:val="005575D2"/>
    <w:rsid w:val="00563EDB"/>
    <w:rsid w:val="005644F0"/>
    <w:rsid w:val="00565444"/>
    <w:rsid w:val="00565714"/>
    <w:rsid w:val="00570E4A"/>
    <w:rsid w:val="00576F32"/>
    <w:rsid w:val="0057766C"/>
    <w:rsid w:val="00580210"/>
    <w:rsid w:val="005812EC"/>
    <w:rsid w:val="005820B8"/>
    <w:rsid w:val="005824F7"/>
    <w:rsid w:val="00585B86"/>
    <w:rsid w:val="00597B2C"/>
    <w:rsid w:val="005A34B5"/>
    <w:rsid w:val="005A7C88"/>
    <w:rsid w:val="005B6927"/>
    <w:rsid w:val="005B7166"/>
    <w:rsid w:val="005B7686"/>
    <w:rsid w:val="005C44D1"/>
    <w:rsid w:val="005D00FF"/>
    <w:rsid w:val="005D1861"/>
    <w:rsid w:val="005D201B"/>
    <w:rsid w:val="005E220F"/>
    <w:rsid w:val="005E23D1"/>
    <w:rsid w:val="005E370F"/>
    <w:rsid w:val="005F0BC0"/>
    <w:rsid w:val="005F18E1"/>
    <w:rsid w:val="005F25BF"/>
    <w:rsid w:val="005F399E"/>
    <w:rsid w:val="00603F35"/>
    <w:rsid w:val="00606CD9"/>
    <w:rsid w:val="00610EDA"/>
    <w:rsid w:val="00615C10"/>
    <w:rsid w:val="0061742A"/>
    <w:rsid w:val="0062061D"/>
    <w:rsid w:val="0062717A"/>
    <w:rsid w:val="006279DB"/>
    <w:rsid w:val="00632756"/>
    <w:rsid w:val="00635C16"/>
    <w:rsid w:val="00635D13"/>
    <w:rsid w:val="006364ED"/>
    <w:rsid w:val="00640C8E"/>
    <w:rsid w:val="0064130E"/>
    <w:rsid w:val="00645D53"/>
    <w:rsid w:val="00661023"/>
    <w:rsid w:val="00662257"/>
    <w:rsid w:val="00665820"/>
    <w:rsid w:val="00665E1F"/>
    <w:rsid w:val="00666151"/>
    <w:rsid w:val="0066638D"/>
    <w:rsid w:val="00666D4F"/>
    <w:rsid w:val="0067141E"/>
    <w:rsid w:val="00671AA2"/>
    <w:rsid w:val="00675838"/>
    <w:rsid w:val="006762DE"/>
    <w:rsid w:val="00677CC6"/>
    <w:rsid w:val="00681894"/>
    <w:rsid w:val="00681978"/>
    <w:rsid w:val="00683F3F"/>
    <w:rsid w:val="00684163"/>
    <w:rsid w:val="0068511B"/>
    <w:rsid w:val="006869D2"/>
    <w:rsid w:val="00697040"/>
    <w:rsid w:val="00697A98"/>
    <w:rsid w:val="006A3305"/>
    <w:rsid w:val="006A4009"/>
    <w:rsid w:val="006A73AA"/>
    <w:rsid w:val="006A7766"/>
    <w:rsid w:val="006B1FCA"/>
    <w:rsid w:val="006C592A"/>
    <w:rsid w:val="006D0DFB"/>
    <w:rsid w:val="006D1906"/>
    <w:rsid w:val="006D64D2"/>
    <w:rsid w:val="006D76E7"/>
    <w:rsid w:val="006D7D19"/>
    <w:rsid w:val="006E354D"/>
    <w:rsid w:val="006F0C54"/>
    <w:rsid w:val="006F10C7"/>
    <w:rsid w:val="006F364D"/>
    <w:rsid w:val="006F4E99"/>
    <w:rsid w:val="00701652"/>
    <w:rsid w:val="0070627C"/>
    <w:rsid w:val="00706AF0"/>
    <w:rsid w:val="0071372B"/>
    <w:rsid w:val="00721F20"/>
    <w:rsid w:val="0073297F"/>
    <w:rsid w:val="00742A56"/>
    <w:rsid w:val="00743D8C"/>
    <w:rsid w:val="007447D3"/>
    <w:rsid w:val="00745DDE"/>
    <w:rsid w:val="0074614F"/>
    <w:rsid w:val="0074784E"/>
    <w:rsid w:val="007527B8"/>
    <w:rsid w:val="00754583"/>
    <w:rsid w:val="00761205"/>
    <w:rsid w:val="00761486"/>
    <w:rsid w:val="00765EA1"/>
    <w:rsid w:val="00777A9B"/>
    <w:rsid w:val="007826EB"/>
    <w:rsid w:val="00782B7A"/>
    <w:rsid w:val="00782E88"/>
    <w:rsid w:val="007923D9"/>
    <w:rsid w:val="007927A2"/>
    <w:rsid w:val="00793B20"/>
    <w:rsid w:val="00797077"/>
    <w:rsid w:val="007A2959"/>
    <w:rsid w:val="007A65ED"/>
    <w:rsid w:val="007A7555"/>
    <w:rsid w:val="007B015B"/>
    <w:rsid w:val="007B5B53"/>
    <w:rsid w:val="007B6AED"/>
    <w:rsid w:val="007D38AA"/>
    <w:rsid w:val="007D6B94"/>
    <w:rsid w:val="007E58DA"/>
    <w:rsid w:val="007F3CF5"/>
    <w:rsid w:val="007F3EC5"/>
    <w:rsid w:val="00801C5C"/>
    <w:rsid w:val="00802B0B"/>
    <w:rsid w:val="00802BE0"/>
    <w:rsid w:val="00804B3A"/>
    <w:rsid w:val="00810035"/>
    <w:rsid w:val="008119E2"/>
    <w:rsid w:val="00813D3C"/>
    <w:rsid w:val="00815FFC"/>
    <w:rsid w:val="008201CD"/>
    <w:rsid w:val="00824B21"/>
    <w:rsid w:val="00831DF6"/>
    <w:rsid w:val="00834A66"/>
    <w:rsid w:val="0084223A"/>
    <w:rsid w:val="00842D7C"/>
    <w:rsid w:val="00855288"/>
    <w:rsid w:val="008556CD"/>
    <w:rsid w:val="00860326"/>
    <w:rsid w:val="00860D29"/>
    <w:rsid w:val="008649D2"/>
    <w:rsid w:val="00864F98"/>
    <w:rsid w:val="008716A0"/>
    <w:rsid w:val="00874EBE"/>
    <w:rsid w:val="00881A5D"/>
    <w:rsid w:val="0088245B"/>
    <w:rsid w:val="00884580"/>
    <w:rsid w:val="00884BE0"/>
    <w:rsid w:val="008913B5"/>
    <w:rsid w:val="00892977"/>
    <w:rsid w:val="008963F7"/>
    <w:rsid w:val="008A01AF"/>
    <w:rsid w:val="008A7C6C"/>
    <w:rsid w:val="008B2125"/>
    <w:rsid w:val="008B2604"/>
    <w:rsid w:val="008B35A3"/>
    <w:rsid w:val="008B5CC9"/>
    <w:rsid w:val="008B5FD3"/>
    <w:rsid w:val="008C3509"/>
    <w:rsid w:val="008C4811"/>
    <w:rsid w:val="008C601E"/>
    <w:rsid w:val="008C617D"/>
    <w:rsid w:val="008C7383"/>
    <w:rsid w:val="008D15E2"/>
    <w:rsid w:val="008D2339"/>
    <w:rsid w:val="008D3073"/>
    <w:rsid w:val="008D4B24"/>
    <w:rsid w:val="008D5543"/>
    <w:rsid w:val="008D6689"/>
    <w:rsid w:val="008E7399"/>
    <w:rsid w:val="008F10BC"/>
    <w:rsid w:val="008F545E"/>
    <w:rsid w:val="00900A82"/>
    <w:rsid w:val="0090367C"/>
    <w:rsid w:val="009036CC"/>
    <w:rsid w:val="00904632"/>
    <w:rsid w:val="00911931"/>
    <w:rsid w:val="00913774"/>
    <w:rsid w:val="00914657"/>
    <w:rsid w:val="00915132"/>
    <w:rsid w:val="00923F95"/>
    <w:rsid w:val="009243CD"/>
    <w:rsid w:val="00927A66"/>
    <w:rsid w:val="00927A88"/>
    <w:rsid w:val="00927E99"/>
    <w:rsid w:val="009306D2"/>
    <w:rsid w:val="0093708D"/>
    <w:rsid w:val="00937DFC"/>
    <w:rsid w:val="009409A4"/>
    <w:rsid w:val="00941011"/>
    <w:rsid w:val="00941DDE"/>
    <w:rsid w:val="00942AFC"/>
    <w:rsid w:val="00944998"/>
    <w:rsid w:val="00953AF2"/>
    <w:rsid w:val="009550C5"/>
    <w:rsid w:val="00955E7E"/>
    <w:rsid w:val="0096267B"/>
    <w:rsid w:val="00963CBC"/>
    <w:rsid w:val="009645D4"/>
    <w:rsid w:val="00970575"/>
    <w:rsid w:val="0097114D"/>
    <w:rsid w:val="00972E56"/>
    <w:rsid w:val="00972FD5"/>
    <w:rsid w:val="00974858"/>
    <w:rsid w:val="00976A4B"/>
    <w:rsid w:val="009777DE"/>
    <w:rsid w:val="0098206F"/>
    <w:rsid w:val="0098567F"/>
    <w:rsid w:val="00985EE4"/>
    <w:rsid w:val="009861D0"/>
    <w:rsid w:val="00986403"/>
    <w:rsid w:val="00990C04"/>
    <w:rsid w:val="00992703"/>
    <w:rsid w:val="00993EB7"/>
    <w:rsid w:val="009A0E40"/>
    <w:rsid w:val="009A3895"/>
    <w:rsid w:val="009A4581"/>
    <w:rsid w:val="009A7751"/>
    <w:rsid w:val="009B0CDA"/>
    <w:rsid w:val="009B13AB"/>
    <w:rsid w:val="009B478E"/>
    <w:rsid w:val="009C47BF"/>
    <w:rsid w:val="009C6342"/>
    <w:rsid w:val="009D105E"/>
    <w:rsid w:val="009D2112"/>
    <w:rsid w:val="009D2CC9"/>
    <w:rsid w:val="009D5BD8"/>
    <w:rsid w:val="009D7699"/>
    <w:rsid w:val="009E070E"/>
    <w:rsid w:val="009E5F67"/>
    <w:rsid w:val="009F398E"/>
    <w:rsid w:val="009F3B34"/>
    <w:rsid w:val="009F5B2C"/>
    <w:rsid w:val="009F5F2D"/>
    <w:rsid w:val="009F6AA8"/>
    <w:rsid w:val="00A03F2D"/>
    <w:rsid w:val="00A06E04"/>
    <w:rsid w:val="00A12584"/>
    <w:rsid w:val="00A17E08"/>
    <w:rsid w:val="00A20CD6"/>
    <w:rsid w:val="00A2151C"/>
    <w:rsid w:val="00A23358"/>
    <w:rsid w:val="00A267CE"/>
    <w:rsid w:val="00A2735D"/>
    <w:rsid w:val="00A31DD2"/>
    <w:rsid w:val="00A3254A"/>
    <w:rsid w:val="00A32B01"/>
    <w:rsid w:val="00A42D02"/>
    <w:rsid w:val="00A45D51"/>
    <w:rsid w:val="00A464AC"/>
    <w:rsid w:val="00A502D1"/>
    <w:rsid w:val="00A510E7"/>
    <w:rsid w:val="00A5281C"/>
    <w:rsid w:val="00A5321B"/>
    <w:rsid w:val="00A614E7"/>
    <w:rsid w:val="00A61B0C"/>
    <w:rsid w:val="00A63103"/>
    <w:rsid w:val="00A641C4"/>
    <w:rsid w:val="00A77798"/>
    <w:rsid w:val="00A8170D"/>
    <w:rsid w:val="00A817D3"/>
    <w:rsid w:val="00A83182"/>
    <w:rsid w:val="00A837E5"/>
    <w:rsid w:val="00A9163C"/>
    <w:rsid w:val="00A92127"/>
    <w:rsid w:val="00A95273"/>
    <w:rsid w:val="00AA2042"/>
    <w:rsid w:val="00AA23AF"/>
    <w:rsid w:val="00AA40A2"/>
    <w:rsid w:val="00AA6AA5"/>
    <w:rsid w:val="00AA7992"/>
    <w:rsid w:val="00AB063A"/>
    <w:rsid w:val="00AB07B2"/>
    <w:rsid w:val="00AB0D30"/>
    <w:rsid w:val="00AB2F8B"/>
    <w:rsid w:val="00AB399C"/>
    <w:rsid w:val="00AB4B8D"/>
    <w:rsid w:val="00AB5BBA"/>
    <w:rsid w:val="00AB6A32"/>
    <w:rsid w:val="00AB75F0"/>
    <w:rsid w:val="00AC3F10"/>
    <w:rsid w:val="00AC44F3"/>
    <w:rsid w:val="00AC54F2"/>
    <w:rsid w:val="00AC7A2B"/>
    <w:rsid w:val="00AC7F33"/>
    <w:rsid w:val="00AD058E"/>
    <w:rsid w:val="00AD10BA"/>
    <w:rsid w:val="00AD14C6"/>
    <w:rsid w:val="00AD1A78"/>
    <w:rsid w:val="00AD7B48"/>
    <w:rsid w:val="00AE4083"/>
    <w:rsid w:val="00AF02CC"/>
    <w:rsid w:val="00AF0607"/>
    <w:rsid w:val="00AF169B"/>
    <w:rsid w:val="00AF30E3"/>
    <w:rsid w:val="00AF5EB0"/>
    <w:rsid w:val="00AF627B"/>
    <w:rsid w:val="00B0045B"/>
    <w:rsid w:val="00B00548"/>
    <w:rsid w:val="00B014D3"/>
    <w:rsid w:val="00B02715"/>
    <w:rsid w:val="00B1231D"/>
    <w:rsid w:val="00B178DC"/>
    <w:rsid w:val="00B17C88"/>
    <w:rsid w:val="00B24249"/>
    <w:rsid w:val="00B24500"/>
    <w:rsid w:val="00B30079"/>
    <w:rsid w:val="00B315FD"/>
    <w:rsid w:val="00B31AF6"/>
    <w:rsid w:val="00B32DB1"/>
    <w:rsid w:val="00B35651"/>
    <w:rsid w:val="00B36417"/>
    <w:rsid w:val="00B44CED"/>
    <w:rsid w:val="00B459E0"/>
    <w:rsid w:val="00B500B9"/>
    <w:rsid w:val="00B50FEB"/>
    <w:rsid w:val="00B66847"/>
    <w:rsid w:val="00B70E79"/>
    <w:rsid w:val="00B7245D"/>
    <w:rsid w:val="00B81ECD"/>
    <w:rsid w:val="00B865AE"/>
    <w:rsid w:val="00B90BC7"/>
    <w:rsid w:val="00B9550E"/>
    <w:rsid w:val="00B97D61"/>
    <w:rsid w:val="00BA0CFE"/>
    <w:rsid w:val="00BA3AD4"/>
    <w:rsid w:val="00BB02B6"/>
    <w:rsid w:val="00BB4146"/>
    <w:rsid w:val="00BC2C96"/>
    <w:rsid w:val="00BD056A"/>
    <w:rsid w:val="00BD357E"/>
    <w:rsid w:val="00BD435E"/>
    <w:rsid w:val="00BD7F0F"/>
    <w:rsid w:val="00BE4079"/>
    <w:rsid w:val="00BE4233"/>
    <w:rsid w:val="00BE5EF8"/>
    <w:rsid w:val="00BE783D"/>
    <w:rsid w:val="00BF076D"/>
    <w:rsid w:val="00BF1570"/>
    <w:rsid w:val="00BF30CC"/>
    <w:rsid w:val="00C00733"/>
    <w:rsid w:val="00C00FBD"/>
    <w:rsid w:val="00C06D88"/>
    <w:rsid w:val="00C0751A"/>
    <w:rsid w:val="00C07C95"/>
    <w:rsid w:val="00C11B09"/>
    <w:rsid w:val="00C122B3"/>
    <w:rsid w:val="00C12B51"/>
    <w:rsid w:val="00C13001"/>
    <w:rsid w:val="00C169D8"/>
    <w:rsid w:val="00C174C4"/>
    <w:rsid w:val="00C20021"/>
    <w:rsid w:val="00C22775"/>
    <w:rsid w:val="00C24911"/>
    <w:rsid w:val="00C277BE"/>
    <w:rsid w:val="00C302C5"/>
    <w:rsid w:val="00C33B05"/>
    <w:rsid w:val="00C34C99"/>
    <w:rsid w:val="00C3685D"/>
    <w:rsid w:val="00C36E27"/>
    <w:rsid w:val="00C36E7E"/>
    <w:rsid w:val="00C37B3D"/>
    <w:rsid w:val="00C37BDB"/>
    <w:rsid w:val="00C411A7"/>
    <w:rsid w:val="00C4131F"/>
    <w:rsid w:val="00C424CD"/>
    <w:rsid w:val="00C4667C"/>
    <w:rsid w:val="00C4732E"/>
    <w:rsid w:val="00C475AA"/>
    <w:rsid w:val="00C51E4E"/>
    <w:rsid w:val="00C532C6"/>
    <w:rsid w:val="00C575F9"/>
    <w:rsid w:val="00C60E0F"/>
    <w:rsid w:val="00C63922"/>
    <w:rsid w:val="00C64471"/>
    <w:rsid w:val="00C65E0F"/>
    <w:rsid w:val="00C662EC"/>
    <w:rsid w:val="00C70033"/>
    <w:rsid w:val="00C7099C"/>
    <w:rsid w:val="00C74419"/>
    <w:rsid w:val="00C77A5E"/>
    <w:rsid w:val="00C77C92"/>
    <w:rsid w:val="00C82F89"/>
    <w:rsid w:val="00C85125"/>
    <w:rsid w:val="00C85CC8"/>
    <w:rsid w:val="00C872D0"/>
    <w:rsid w:val="00C9506D"/>
    <w:rsid w:val="00C95E16"/>
    <w:rsid w:val="00CA33CA"/>
    <w:rsid w:val="00CB1228"/>
    <w:rsid w:val="00CB225D"/>
    <w:rsid w:val="00CB5799"/>
    <w:rsid w:val="00CB60DB"/>
    <w:rsid w:val="00CC3686"/>
    <w:rsid w:val="00CC5A8E"/>
    <w:rsid w:val="00CD0594"/>
    <w:rsid w:val="00CD15EE"/>
    <w:rsid w:val="00CD427D"/>
    <w:rsid w:val="00CE04B6"/>
    <w:rsid w:val="00CE0F13"/>
    <w:rsid w:val="00CE1964"/>
    <w:rsid w:val="00CE2018"/>
    <w:rsid w:val="00CE46AA"/>
    <w:rsid w:val="00CF013D"/>
    <w:rsid w:val="00CF2782"/>
    <w:rsid w:val="00CF5B7A"/>
    <w:rsid w:val="00CF7CD5"/>
    <w:rsid w:val="00D00FB0"/>
    <w:rsid w:val="00D03DDE"/>
    <w:rsid w:val="00D0567F"/>
    <w:rsid w:val="00D0645D"/>
    <w:rsid w:val="00D077FA"/>
    <w:rsid w:val="00D10C76"/>
    <w:rsid w:val="00D1141A"/>
    <w:rsid w:val="00D118B2"/>
    <w:rsid w:val="00D12E54"/>
    <w:rsid w:val="00D13B7C"/>
    <w:rsid w:val="00D14A55"/>
    <w:rsid w:val="00D176C1"/>
    <w:rsid w:val="00D2154F"/>
    <w:rsid w:val="00D27A67"/>
    <w:rsid w:val="00D31306"/>
    <w:rsid w:val="00D32A66"/>
    <w:rsid w:val="00D362BE"/>
    <w:rsid w:val="00D367E9"/>
    <w:rsid w:val="00D44BD6"/>
    <w:rsid w:val="00D45C72"/>
    <w:rsid w:val="00D53F63"/>
    <w:rsid w:val="00D5597B"/>
    <w:rsid w:val="00D55F0C"/>
    <w:rsid w:val="00D60BFD"/>
    <w:rsid w:val="00D66C3C"/>
    <w:rsid w:val="00D70FC6"/>
    <w:rsid w:val="00D807D1"/>
    <w:rsid w:val="00D81464"/>
    <w:rsid w:val="00D858EA"/>
    <w:rsid w:val="00D861E7"/>
    <w:rsid w:val="00D87458"/>
    <w:rsid w:val="00D94999"/>
    <w:rsid w:val="00D9523F"/>
    <w:rsid w:val="00D96106"/>
    <w:rsid w:val="00DA1438"/>
    <w:rsid w:val="00DA17F4"/>
    <w:rsid w:val="00DA3CA3"/>
    <w:rsid w:val="00DB16A8"/>
    <w:rsid w:val="00DB3A0B"/>
    <w:rsid w:val="00DC654C"/>
    <w:rsid w:val="00DD5BFB"/>
    <w:rsid w:val="00DD7227"/>
    <w:rsid w:val="00DD77AA"/>
    <w:rsid w:val="00DE4ED4"/>
    <w:rsid w:val="00DF18AA"/>
    <w:rsid w:val="00DF3763"/>
    <w:rsid w:val="00DF3784"/>
    <w:rsid w:val="00DF4341"/>
    <w:rsid w:val="00DF6071"/>
    <w:rsid w:val="00E02CBF"/>
    <w:rsid w:val="00E062EB"/>
    <w:rsid w:val="00E12862"/>
    <w:rsid w:val="00E130ED"/>
    <w:rsid w:val="00E22272"/>
    <w:rsid w:val="00E2481C"/>
    <w:rsid w:val="00E27E30"/>
    <w:rsid w:val="00E30862"/>
    <w:rsid w:val="00E33C38"/>
    <w:rsid w:val="00E350FD"/>
    <w:rsid w:val="00E371F5"/>
    <w:rsid w:val="00E4151A"/>
    <w:rsid w:val="00E43A78"/>
    <w:rsid w:val="00E43EEE"/>
    <w:rsid w:val="00E448B8"/>
    <w:rsid w:val="00E4661C"/>
    <w:rsid w:val="00E55356"/>
    <w:rsid w:val="00E65833"/>
    <w:rsid w:val="00E70BB4"/>
    <w:rsid w:val="00E7148F"/>
    <w:rsid w:val="00E7433A"/>
    <w:rsid w:val="00E7679E"/>
    <w:rsid w:val="00E800F0"/>
    <w:rsid w:val="00E82742"/>
    <w:rsid w:val="00E82950"/>
    <w:rsid w:val="00E86136"/>
    <w:rsid w:val="00E86F07"/>
    <w:rsid w:val="00E919EC"/>
    <w:rsid w:val="00E93E73"/>
    <w:rsid w:val="00E95958"/>
    <w:rsid w:val="00EA2A9B"/>
    <w:rsid w:val="00EA4252"/>
    <w:rsid w:val="00EB326E"/>
    <w:rsid w:val="00EC00BD"/>
    <w:rsid w:val="00EC15E2"/>
    <w:rsid w:val="00EC2363"/>
    <w:rsid w:val="00EC4FA5"/>
    <w:rsid w:val="00EC760B"/>
    <w:rsid w:val="00EC794A"/>
    <w:rsid w:val="00ED48CE"/>
    <w:rsid w:val="00ED73E6"/>
    <w:rsid w:val="00EE1ADC"/>
    <w:rsid w:val="00EE28A1"/>
    <w:rsid w:val="00EE4EC4"/>
    <w:rsid w:val="00EE52CC"/>
    <w:rsid w:val="00EF16DE"/>
    <w:rsid w:val="00EF2A88"/>
    <w:rsid w:val="00EF5CA8"/>
    <w:rsid w:val="00F02B6B"/>
    <w:rsid w:val="00F06866"/>
    <w:rsid w:val="00F10059"/>
    <w:rsid w:val="00F11AA6"/>
    <w:rsid w:val="00F121DD"/>
    <w:rsid w:val="00F135B1"/>
    <w:rsid w:val="00F155D5"/>
    <w:rsid w:val="00F20FE3"/>
    <w:rsid w:val="00F21666"/>
    <w:rsid w:val="00F23F37"/>
    <w:rsid w:val="00F300B9"/>
    <w:rsid w:val="00F31031"/>
    <w:rsid w:val="00F32391"/>
    <w:rsid w:val="00F326E3"/>
    <w:rsid w:val="00F32FA4"/>
    <w:rsid w:val="00F35C00"/>
    <w:rsid w:val="00F4025D"/>
    <w:rsid w:val="00F422A9"/>
    <w:rsid w:val="00F4325C"/>
    <w:rsid w:val="00F43741"/>
    <w:rsid w:val="00F50E30"/>
    <w:rsid w:val="00F51B11"/>
    <w:rsid w:val="00F531CD"/>
    <w:rsid w:val="00F55346"/>
    <w:rsid w:val="00F56C5A"/>
    <w:rsid w:val="00F5766D"/>
    <w:rsid w:val="00F64826"/>
    <w:rsid w:val="00F64A53"/>
    <w:rsid w:val="00F66757"/>
    <w:rsid w:val="00F66AEA"/>
    <w:rsid w:val="00F73EF1"/>
    <w:rsid w:val="00F8294A"/>
    <w:rsid w:val="00F829A3"/>
    <w:rsid w:val="00F86390"/>
    <w:rsid w:val="00F90438"/>
    <w:rsid w:val="00F92914"/>
    <w:rsid w:val="00F92F54"/>
    <w:rsid w:val="00F94066"/>
    <w:rsid w:val="00F947D7"/>
    <w:rsid w:val="00FA3E97"/>
    <w:rsid w:val="00FA40B8"/>
    <w:rsid w:val="00FA4CD5"/>
    <w:rsid w:val="00FA5349"/>
    <w:rsid w:val="00FB1B2A"/>
    <w:rsid w:val="00FB682C"/>
    <w:rsid w:val="00FC0572"/>
    <w:rsid w:val="00FD3E25"/>
    <w:rsid w:val="00FE0AE0"/>
    <w:rsid w:val="00FE3111"/>
    <w:rsid w:val="00FE675E"/>
    <w:rsid w:val="00FE70BD"/>
    <w:rsid w:val="00FF15D5"/>
    <w:rsid w:val="00FF18FD"/>
    <w:rsid w:val="00FF1B9D"/>
    <w:rsid w:val="00FF209B"/>
    <w:rsid w:val="00FF28E1"/>
    <w:rsid w:val="00FF369C"/>
    <w:rsid w:val="00FF5B25"/>
    <w:rsid w:val="00FF7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79"/>
    <w:rPr>
      <w:i/>
      <w:iCs/>
      <w:sz w:val="20"/>
      <w:szCs w:val="20"/>
    </w:rPr>
  </w:style>
  <w:style w:type="paragraph" w:styleId="Heading1">
    <w:name w:val="heading 1"/>
    <w:basedOn w:val="Normal"/>
    <w:next w:val="Normal"/>
    <w:link w:val="Heading1Char"/>
    <w:uiPriority w:val="9"/>
    <w:qFormat/>
    <w:rsid w:val="00BE783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after="240" w:line="240" w:lineRule="auto"/>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unhideWhenUsed/>
    <w:qFormat/>
    <w:rsid w:val="00BF30CC"/>
    <w:pPr>
      <w:spacing w:before="360" w:after="120" w:line="240" w:lineRule="auto"/>
      <w:outlineLvl w:val="1"/>
    </w:pPr>
    <w:rPr>
      <w:b/>
      <w:i w:val="0"/>
      <w:sz w:val="22"/>
      <w:szCs w:val="22"/>
    </w:rPr>
  </w:style>
  <w:style w:type="paragraph" w:styleId="Heading3">
    <w:name w:val="heading 3"/>
    <w:basedOn w:val="Normal"/>
    <w:next w:val="Normal"/>
    <w:link w:val="Heading3Char"/>
    <w:uiPriority w:val="9"/>
    <w:unhideWhenUsed/>
    <w:qFormat/>
    <w:rsid w:val="00565444"/>
    <w:pPr>
      <w:spacing w:before="360" w:after="120" w:line="240" w:lineRule="auto"/>
      <w:outlineLvl w:val="2"/>
    </w:pPr>
    <w:rPr>
      <w:rFonts w:cstheme="minorHAnsi"/>
      <w:b/>
      <w:i w:val="0"/>
      <w:color w:val="002060"/>
      <w:sz w:val="22"/>
      <w:szCs w:val="22"/>
    </w:rPr>
  </w:style>
  <w:style w:type="paragraph" w:styleId="Heading4">
    <w:name w:val="heading 4"/>
    <w:basedOn w:val="Normal"/>
    <w:next w:val="Normal"/>
    <w:link w:val="Heading4Char"/>
    <w:uiPriority w:val="9"/>
    <w:semiHidden/>
    <w:unhideWhenUsed/>
    <w:qFormat/>
    <w:rsid w:val="00B70E79"/>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B70E79"/>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B70E79"/>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B70E79"/>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B70E79"/>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B70E79"/>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79"/>
    <w:pPr>
      <w:ind w:left="720"/>
      <w:contextualSpacing/>
    </w:pPr>
  </w:style>
  <w:style w:type="paragraph" w:styleId="BalloonText">
    <w:name w:val="Balloon Text"/>
    <w:basedOn w:val="Normal"/>
    <w:link w:val="BalloonTextChar"/>
    <w:uiPriority w:val="99"/>
    <w:semiHidden/>
    <w:unhideWhenUsed/>
    <w:rsid w:val="00DD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27"/>
    <w:rPr>
      <w:rFonts w:ascii="Tahoma" w:hAnsi="Tahoma" w:cs="Tahoma"/>
      <w:sz w:val="16"/>
      <w:szCs w:val="16"/>
    </w:rPr>
  </w:style>
  <w:style w:type="paragraph" w:styleId="NoSpacing">
    <w:name w:val="No Spacing"/>
    <w:basedOn w:val="Normal"/>
    <w:link w:val="NoSpacingChar"/>
    <w:uiPriority w:val="1"/>
    <w:qFormat/>
    <w:rsid w:val="00B70E79"/>
    <w:pPr>
      <w:spacing w:after="0" w:line="240" w:lineRule="auto"/>
    </w:pPr>
  </w:style>
  <w:style w:type="character" w:customStyle="1" w:styleId="NoSpacingChar">
    <w:name w:val="No Spacing Char"/>
    <w:basedOn w:val="DefaultParagraphFont"/>
    <w:link w:val="NoSpacing"/>
    <w:uiPriority w:val="1"/>
    <w:rsid w:val="00FE0AE0"/>
    <w:rPr>
      <w:i/>
      <w:iCs/>
      <w:sz w:val="20"/>
      <w:szCs w:val="20"/>
    </w:rPr>
  </w:style>
  <w:style w:type="paragraph" w:styleId="Header">
    <w:name w:val="header"/>
    <w:basedOn w:val="Normal"/>
    <w:link w:val="HeaderChar"/>
    <w:uiPriority w:val="99"/>
    <w:unhideWhenUsed/>
    <w:rsid w:val="00E1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62"/>
  </w:style>
  <w:style w:type="paragraph" w:styleId="Footer">
    <w:name w:val="footer"/>
    <w:basedOn w:val="Normal"/>
    <w:link w:val="FooterChar"/>
    <w:uiPriority w:val="99"/>
    <w:unhideWhenUsed/>
    <w:rsid w:val="00E1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62"/>
  </w:style>
  <w:style w:type="paragraph" w:customStyle="1" w:styleId="Subheading">
    <w:name w:val="Subheading"/>
    <w:basedOn w:val="Normal"/>
    <w:uiPriority w:val="99"/>
    <w:rsid w:val="008913B5"/>
    <w:pPr>
      <w:numPr>
        <w:numId w:val="1"/>
      </w:numPr>
      <w:spacing w:before="120" w:after="120" w:line="240" w:lineRule="auto"/>
    </w:pPr>
    <w:rPr>
      <w:rFonts w:ascii="Arial" w:eastAsia="Times New Roman" w:hAnsi="Arial" w:cs="Times New Roman"/>
      <w:b/>
      <w:szCs w:val="24"/>
      <w:lang w:eastAsia="en-AU"/>
    </w:rPr>
  </w:style>
  <w:style w:type="paragraph" w:customStyle="1" w:styleId="Text0">
    <w:name w:val="Text"/>
    <w:basedOn w:val="Subheading"/>
    <w:uiPriority w:val="99"/>
    <w:rsid w:val="008913B5"/>
    <w:rPr>
      <w:b w:val="0"/>
    </w:rPr>
  </w:style>
  <w:style w:type="character" w:styleId="Hyperlink">
    <w:name w:val="Hyperlink"/>
    <w:basedOn w:val="DefaultParagraphFont"/>
    <w:uiPriority w:val="99"/>
    <w:unhideWhenUsed/>
    <w:rsid w:val="008913B5"/>
    <w:rPr>
      <w:color w:val="5F5F5F" w:themeColor="hyperlink"/>
      <w:u w:val="single"/>
    </w:rPr>
  </w:style>
  <w:style w:type="paragraph" w:styleId="FootnoteText">
    <w:name w:val="footnote text"/>
    <w:basedOn w:val="Normal"/>
    <w:link w:val="FootnoteTextChar"/>
    <w:rsid w:val="00D66C3C"/>
    <w:pPr>
      <w:spacing w:after="0" w:line="240" w:lineRule="auto"/>
    </w:pPr>
    <w:rPr>
      <w:rFonts w:ascii="Times New Roman" w:eastAsia="Times New Roman" w:hAnsi="Times New Roman" w:cs="Times New Roman"/>
      <w:lang w:eastAsia="en-AU"/>
    </w:rPr>
  </w:style>
  <w:style w:type="character" w:customStyle="1" w:styleId="FootnoteTextChar">
    <w:name w:val="Footnote Text Char"/>
    <w:basedOn w:val="DefaultParagraphFont"/>
    <w:link w:val="FootnoteText"/>
    <w:rsid w:val="00D66C3C"/>
    <w:rPr>
      <w:rFonts w:ascii="Times New Roman" w:eastAsia="Times New Roman" w:hAnsi="Times New Roman" w:cs="Times New Roman"/>
      <w:sz w:val="20"/>
      <w:szCs w:val="20"/>
      <w:lang w:eastAsia="en-AU"/>
    </w:rPr>
  </w:style>
  <w:style w:type="character" w:styleId="FootnoteReference">
    <w:name w:val="footnote reference"/>
    <w:rsid w:val="00D66C3C"/>
    <w:rPr>
      <w:vertAlign w:val="superscript"/>
    </w:rPr>
  </w:style>
  <w:style w:type="paragraph" w:customStyle="1" w:styleId="Default">
    <w:name w:val="Default"/>
    <w:rsid w:val="004107B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3007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42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A06E04"/>
    <w:rPr>
      <w:color w:val="000000"/>
      <w:sz w:val="21"/>
      <w:szCs w:val="21"/>
    </w:rPr>
  </w:style>
  <w:style w:type="paragraph" w:customStyle="1" w:styleId="Pa3">
    <w:name w:val="Pa3"/>
    <w:basedOn w:val="Default"/>
    <w:next w:val="Default"/>
    <w:uiPriority w:val="99"/>
    <w:rsid w:val="00A06E04"/>
    <w:pPr>
      <w:spacing w:line="241" w:lineRule="atLeast"/>
    </w:pPr>
    <w:rPr>
      <w:color w:val="auto"/>
    </w:rPr>
  </w:style>
  <w:style w:type="paragraph" w:styleId="Quote">
    <w:name w:val="Quote"/>
    <w:basedOn w:val="Normal"/>
    <w:next w:val="Normal"/>
    <w:link w:val="QuoteChar"/>
    <w:uiPriority w:val="29"/>
    <w:qFormat/>
    <w:rsid w:val="00B70E79"/>
    <w:rPr>
      <w:i w:val="0"/>
      <w:iCs w:val="0"/>
      <w:color w:val="858585" w:themeColor="accent2" w:themeShade="BF"/>
    </w:rPr>
  </w:style>
  <w:style w:type="character" w:customStyle="1" w:styleId="QuoteChar">
    <w:name w:val="Quote Char"/>
    <w:basedOn w:val="DefaultParagraphFont"/>
    <w:link w:val="Quote"/>
    <w:uiPriority w:val="29"/>
    <w:rsid w:val="00B70E79"/>
    <w:rPr>
      <w:color w:val="858585" w:themeColor="accent2" w:themeShade="BF"/>
      <w:sz w:val="20"/>
      <w:szCs w:val="20"/>
    </w:rPr>
  </w:style>
  <w:style w:type="character" w:styleId="PlaceholderText">
    <w:name w:val="Placeholder Text"/>
    <w:basedOn w:val="DefaultParagraphFont"/>
    <w:uiPriority w:val="99"/>
    <w:semiHidden/>
    <w:rsid w:val="00E43A78"/>
    <w:rPr>
      <w:color w:val="808080"/>
    </w:rPr>
  </w:style>
  <w:style w:type="paragraph" w:customStyle="1" w:styleId="text">
    <w:name w:val="text"/>
    <w:basedOn w:val="Normal"/>
    <w:rsid w:val="0062717A"/>
    <w:pPr>
      <w:numPr>
        <w:numId w:val="9"/>
      </w:numPr>
      <w:spacing w:before="120" w:after="120" w:line="240" w:lineRule="auto"/>
    </w:pPr>
    <w:rPr>
      <w:rFonts w:ascii="Arial" w:eastAsia="Calibri" w:hAnsi="Arial" w:cs="Arial"/>
      <w:lang w:eastAsia="en-AU"/>
    </w:rPr>
  </w:style>
  <w:style w:type="character" w:styleId="CommentReference">
    <w:name w:val="annotation reference"/>
    <w:basedOn w:val="DefaultParagraphFont"/>
    <w:uiPriority w:val="99"/>
    <w:semiHidden/>
    <w:unhideWhenUsed/>
    <w:rsid w:val="00697A98"/>
    <w:rPr>
      <w:sz w:val="16"/>
      <w:szCs w:val="16"/>
    </w:rPr>
  </w:style>
  <w:style w:type="paragraph" w:styleId="CommentText">
    <w:name w:val="annotation text"/>
    <w:basedOn w:val="Normal"/>
    <w:link w:val="CommentTextChar"/>
    <w:uiPriority w:val="99"/>
    <w:unhideWhenUsed/>
    <w:rsid w:val="00697A98"/>
    <w:pPr>
      <w:spacing w:line="240" w:lineRule="auto"/>
    </w:pPr>
  </w:style>
  <w:style w:type="character" w:customStyle="1" w:styleId="CommentTextChar">
    <w:name w:val="Comment Text Char"/>
    <w:basedOn w:val="DefaultParagraphFont"/>
    <w:link w:val="CommentText"/>
    <w:uiPriority w:val="99"/>
    <w:rsid w:val="00697A98"/>
    <w:rPr>
      <w:sz w:val="20"/>
      <w:szCs w:val="20"/>
    </w:rPr>
  </w:style>
  <w:style w:type="paragraph" w:styleId="CommentSubject">
    <w:name w:val="annotation subject"/>
    <w:basedOn w:val="CommentText"/>
    <w:next w:val="CommentText"/>
    <w:link w:val="CommentSubjectChar"/>
    <w:uiPriority w:val="99"/>
    <w:semiHidden/>
    <w:unhideWhenUsed/>
    <w:rsid w:val="00697A98"/>
    <w:rPr>
      <w:b/>
      <w:bCs/>
    </w:rPr>
  </w:style>
  <w:style w:type="character" w:customStyle="1" w:styleId="CommentSubjectChar">
    <w:name w:val="Comment Subject Char"/>
    <w:basedOn w:val="CommentTextChar"/>
    <w:link w:val="CommentSubject"/>
    <w:uiPriority w:val="99"/>
    <w:semiHidden/>
    <w:rsid w:val="00697A98"/>
    <w:rPr>
      <w:b/>
      <w:bCs/>
      <w:sz w:val="20"/>
      <w:szCs w:val="20"/>
    </w:rPr>
  </w:style>
  <w:style w:type="character" w:styleId="FollowedHyperlink">
    <w:name w:val="FollowedHyperlink"/>
    <w:basedOn w:val="DefaultParagraphFont"/>
    <w:uiPriority w:val="99"/>
    <w:semiHidden/>
    <w:unhideWhenUsed/>
    <w:rsid w:val="00A5321B"/>
    <w:rPr>
      <w:color w:val="919191" w:themeColor="followedHyperlink"/>
      <w:u w:val="single"/>
    </w:rPr>
  </w:style>
  <w:style w:type="character" w:customStyle="1" w:styleId="Heading1Char">
    <w:name w:val="Heading 1 Char"/>
    <w:basedOn w:val="DefaultParagraphFont"/>
    <w:link w:val="Heading1"/>
    <w:uiPriority w:val="9"/>
    <w:rsid w:val="00BE783D"/>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2Char">
    <w:name w:val="Heading 2 Char"/>
    <w:basedOn w:val="DefaultParagraphFont"/>
    <w:link w:val="Heading2"/>
    <w:uiPriority w:val="9"/>
    <w:rsid w:val="00BF30CC"/>
    <w:rPr>
      <w:b/>
      <w:iCs/>
    </w:rPr>
  </w:style>
  <w:style w:type="character" w:customStyle="1" w:styleId="Heading3Char">
    <w:name w:val="Heading 3 Char"/>
    <w:basedOn w:val="DefaultParagraphFont"/>
    <w:link w:val="Heading3"/>
    <w:uiPriority w:val="9"/>
    <w:rsid w:val="00565444"/>
    <w:rPr>
      <w:rFonts w:cstheme="minorHAnsi"/>
      <w:b/>
      <w:iCs/>
      <w:color w:val="002060"/>
    </w:rPr>
  </w:style>
  <w:style w:type="character" w:customStyle="1" w:styleId="Heading4Char">
    <w:name w:val="Heading 4 Char"/>
    <w:basedOn w:val="DefaultParagraphFont"/>
    <w:link w:val="Heading4"/>
    <w:uiPriority w:val="9"/>
    <w:semiHidden/>
    <w:rsid w:val="00B70E79"/>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B70E79"/>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B70E79"/>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B70E79"/>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B70E79"/>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B70E79"/>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nhideWhenUsed/>
    <w:qFormat/>
    <w:rsid w:val="00B70E79"/>
    <w:rPr>
      <w:b/>
      <w:bCs/>
      <w:color w:val="858585" w:themeColor="accent2" w:themeShade="BF"/>
      <w:sz w:val="18"/>
      <w:szCs w:val="18"/>
    </w:rPr>
  </w:style>
  <w:style w:type="character" w:styleId="Strong">
    <w:name w:val="Strong"/>
    <w:uiPriority w:val="22"/>
    <w:qFormat/>
    <w:rsid w:val="00B70E79"/>
    <w:rPr>
      <w:b/>
      <w:bCs/>
      <w:spacing w:val="0"/>
    </w:rPr>
  </w:style>
  <w:style w:type="paragraph" w:styleId="Title">
    <w:name w:val="Title"/>
    <w:basedOn w:val="Normal"/>
    <w:next w:val="Normal"/>
    <w:link w:val="TitleChar"/>
    <w:qFormat/>
    <w:rsid w:val="00B70E79"/>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rsid w:val="00B70E79"/>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B70E79"/>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B70E79"/>
    <w:rPr>
      <w:rFonts w:asciiTheme="majorHAnsi" w:eastAsiaTheme="majorEastAsia" w:hAnsiTheme="majorHAnsi" w:cstheme="majorBidi"/>
      <w:i/>
      <w:iCs/>
      <w:color w:val="585858" w:themeColor="accent2" w:themeShade="7F"/>
      <w:sz w:val="24"/>
      <w:szCs w:val="24"/>
    </w:rPr>
  </w:style>
  <w:style w:type="character" w:styleId="Emphasis">
    <w:name w:val="Emphasis"/>
    <w:uiPriority w:val="20"/>
    <w:qFormat/>
    <w:rsid w:val="00B70E79"/>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IntenseQuote">
    <w:name w:val="Intense Quote"/>
    <w:basedOn w:val="Normal"/>
    <w:next w:val="Normal"/>
    <w:link w:val="IntenseQuoteChar"/>
    <w:uiPriority w:val="30"/>
    <w:qFormat/>
    <w:rsid w:val="00B70E79"/>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B70E79"/>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B70E79"/>
    <w:rPr>
      <w:rFonts w:asciiTheme="majorHAnsi" w:eastAsiaTheme="majorEastAsia" w:hAnsiTheme="majorHAnsi" w:cstheme="majorBidi"/>
      <w:i/>
      <w:iCs/>
      <w:color w:val="B2B2B2" w:themeColor="accent2"/>
    </w:rPr>
  </w:style>
  <w:style w:type="character" w:styleId="IntenseEmphasis">
    <w:name w:val="Intense Emphasis"/>
    <w:uiPriority w:val="21"/>
    <w:qFormat/>
    <w:rsid w:val="00B70E79"/>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B70E79"/>
    <w:rPr>
      <w:i/>
      <w:iCs/>
      <w:smallCaps/>
      <w:color w:val="B2B2B2" w:themeColor="accent2"/>
      <w:u w:color="B2B2B2" w:themeColor="accent2"/>
    </w:rPr>
  </w:style>
  <w:style w:type="character" w:styleId="IntenseReference">
    <w:name w:val="Intense Reference"/>
    <w:uiPriority w:val="32"/>
    <w:qFormat/>
    <w:rsid w:val="00B70E79"/>
    <w:rPr>
      <w:b/>
      <w:bCs/>
      <w:i/>
      <w:iCs/>
      <w:smallCaps/>
      <w:color w:val="B2B2B2" w:themeColor="accent2"/>
      <w:u w:color="B2B2B2" w:themeColor="accent2"/>
    </w:rPr>
  </w:style>
  <w:style w:type="character" w:styleId="BookTitle">
    <w:name w:val="Book Title"/>
    <w:uiPriority w:val="33"/>
    <w:qFormat/>
    <w:rsid w:val="00B70E79"/>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B70E79"/>
    <w:pPr>
      <w:outlineLvl w:val="9"/>
    </w:pPr>
    <w:rPr>
      <w:lang w:bidi="en-US"/>
    </w:rPr>
  </w:style>
  <w:style w:type="paragraph" w:styleId="TOC1">
    <w:name w:val="toc 1"/>
    <w:basedOn w:val="Normal"/>
    <w:next w:val="Normal"/>
    <w:autoRedefine/>
    <w:uiPriority w:val="39"/>
    <w:unhideWhenUsed/>
    <w:rsid w:val="00F21666"/>
    <w:pPr>
      <w:tabs>
        <w:tab w:val="right" w:leader="dot" w:pos="9742"/>
      </w:tabs>
      <w:spacing w:after="100"/>
    </w:pPr>
    <w:rPr>
      <w:rFonts w:ascii="Arial" w:hAnsi="Arial" w:cstheme="minorHAnsi"/>
      <w:i w:val="0"/>
      <w:noProof/>
      <w:sz w:val="24"/>
      <w:shd w:val="clear" w:color="auto" w:fill="EFEFEF" w:themeFill="accent2" w:themeFillTint="33"/>
    </w:rPr>
  </w:style>
  <w:style w:type="paragraph" w:styleId="TOC2">
    <w:name w:val="toc 2"/>
    <w:basedOn w:val="Normal"/>
    <w:next w:val="Normal"/>
    <w:autoRedefine/>
    <w:uiPriority w:val="39"/>
    <w:unhideWhenUsed/>
    <w:rsid w:val="00874EBE"/>
    <w:pPr>
      <w:spacing w:after="100"/>
      <w:ind w:left="200"/>
    </w:pPr>
  </w:style>
  <w:style w:type="paragraph" w:styleId="TOC3">
    <w:name w:val="toc 3"/>
    <w:basedOn w:val="Normal"/>
    <w:next w:val="Normal"/>
    <w:autoRedefine/>
    <w:uiPriority w:val="39"/>
    <w:unhideWhenUsed/>
    <w:rsid w:val="00874EBE"/>
    <w:pPr>
      <w:spacing w:after="100"/>
      <w:ind w:left="400"/>
    </w:pPr>
  </w:style>
  <w:style w:type="paragraph" w:customStyle="1" w:styleId="StoryBodytext">
    <w:name w:val="Story Body text"/>
    <w:basedOn w:val="Normal"/>
    <w:link w:val="StoryBodytextChar"/>
    <w:rsid w:val="00FF1B9D"/>
    <w:pPr>
      <w:spacing w:before="40" w:after="180"/>
    </w:pPr>
    <w:rPr>
      <w:rFonts w:cs="Calibri"/>
      <w:lang w:eastAsia="en-AU"/>
    </w:rPr>
  </w:style>
  <w:style w:type="character" w:customStyle="1" w:styleId="StoryBodytextChar">
    <w:name w:val="Story Body text Char"/>
    <w:basedOn w:val="DefaultParagraphFont"/>
    <w:link w:val="StoryBodytext"/>
    <w:rsid w:val="00FF1B9D"/>
    <w:rPr>
      <w:rFonts w:cs="Calibri"/>
      <w:sz w:val="20"/>
      <w:szCs w:val="20"/>
      <w:lang w:eastAsia="en-AU"/>
    </w:rPr>
  </w:style>
  <w:style w:type="paragraph" w:styleId="TableofFigures">
    <w:name w:val="table of figures"/>
    <w:basedOn w:val="Normal"/>
    <w:next w:val="Normal"/>
    <w:uiPriority w:val="99"/>
    <w:unhideWhenUsed/>
    <w:rsid w:val="00855288"/>
    <w:pPr>
      <w:spacing w:after="0" w:line="276" w:lineRule="auto"/>
    </w:pPr>
    <w:rPr>
      <w:rFonts w:eastAsia="Times New Roman"/>
      <w:i w:val="0"/>
      <w:iCs w:val="0"/>
      <w:sz w:val="22"/>
      <w:szCs w:val="22"/>
      <w:lang w:val="en-US"/>
    </w:rPr>
  </w:style>
  <w:style w:type="numbering" w:customStyle="1" w:styleId="DPEstimates">
    <w:name w:val="DP Estimates"/>
    <w:rsid w:val="005575D2"/>
    <w:pPr>
      <w:numPr>
        <w:numId w:val="25"/>
      </w:numPr>
    </w:pPr>
  </w:style>
  <w:style w:type="paragraph" w:styleId="Revision">
    <w:name w:val="Revision"/>
    <w:hidden/>
    <w:uiPriority w:val="99"/>
    <w:semiHidden/>
    <w:rsid w:val="000E51EC"/>
    <w:pPr>
      <w:spacing w:after="0" w:line="240" w:lineRule="auto"/>
    </w:pPr>
    <w:rPr>
      <w:i/>
      <w:iCs/>
      <w:sz w:val="20"/>
      <w:szCs w:val="20"/>
    </w:rPr>
  </w:style>
  <w:style w:type="table" w:styleId="LightList-Accent5">
    <w:name w:val="Light List Accent 5"/>
    <w:basedOn w:val="TableNormal"/>
    <w:uiPriority w:val="61"/>
    <w:rsid w:val="00585B86"/>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79"/>
    <w:rPr>
      <w:i/>
      <w:iCs/>
      <w:sz w:val="20"/>
      <w:szCs w:val="20"/>
    </w:rPr>
  </w:style>
  <w:style w:type="paragraph" w:styleId="Heading1">
    <w:name w:val="heading 1"/>
    <w:basedOn w:val="Normal"/>
    <w:next w:val="Normal"/>
    <w:link w:val="Heading1Char"/>
    <w:uiPriority w:val="9"/>
    <w:qFormat/>
    <w:rsid w:val="00BE783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after="240" w:line="240" w:lineRule="auto"/>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unhideWhenUsed/>
    <w:qFormat/>
    <w:rsid w:val="00BF30CC"/>
    <w:pPr>
      <w:spacing w:before="360" w:after="120" w:line="240" w:lineRule="auto"/>
      <w:outlineLvl w:val="1"/>
    </w:pPr>
    <w:rPr>
      <w:b/>
      <w:i w:val="0"/>
      <w:sz w:val="22"/>
      <w:szCs w:val="22"/>
    </w:rPr>
  </w:style>
  <w:style w:type="paragraph" w:styleId="Heading3">
    <w:name w:val="heading 3"/>
    <w:basedOn w:val="Normal"/>
    <w:next w:val="Normal"/>
    <w:link w:val="Heading3Char"/>
    <w:uiPriority w:val="9"/>
    <w:unhideWhenUsed/>
    <w:qFormat/>
    <w:rsid w:val="00565444"/>
    <w:pPr>
      <w:spacing w:before="360" w:after="120" w:line="240" w:lineRule="auto"/>
      <w:outlineLvl w:val="2"/>
    </w:pPr>
    <w:rPr>
      <w:rFonts w:cstheme="minorHAnsi"/>
      <w:b/>
      <w:i w:val="0"/>
      <w:color w:val="002060"/>
      <w:sz w:val="22"/>
      <w:szCs w:val="22"/>
    </w:rPr>
  </w:style>
  <w:style w:type="paragraph" w:styleId="Heading4">
    <w:name w:val="heading 4"/>
    <w:basedOn w:val="Normal"/>
    <w:next w:val="Normal"/>
    <w:link w:val="Heading4Char"/>
    <w:uiPriority w:val="9"/>
    <w:semiHidden/>
    <w:unhideWhenUsed/>
    <w:qFormat/>
    <w:rsid w:val="00B70E79"/>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B70E79"/>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B70E79"/>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B70E79"/>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B70E79"/>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B70E79"/>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79"/>
    <w:pPr>
      <w:ind w:left="720"/>
      <w:contextualSpacing/>
    </w:pPr>
  </w:style>
  <w:style w:type="paragraph" w:styleId="BalloonText">
    <w:name w:val="Balloon Text"/>
    <w:basedOn w:val="Normal"/>
    <w:link w:val="BalloonTextChar"/>
    <w:uiPriority w:val="99"/>
    <w:semiHidden/>
    <w:unhideWhenUsed/>
    <w:rsid w:val="00DD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27"/>
    <w:rPr>
      <w:rFonts w:ascii="Tahoma" w:hAnsi="Tahoma" w:cs="Tahoma"/>
      <w:sz w:val="16"/>
      <w:szCs w:val="16"/>
    </w:rPr>
  </w:style>
  <w:style w:type="paragraph" w:styleId="NoSpacing">
    <w:name w:val="No Spacing"/>
    <w:basedOn w:val="Normal"/>
    <w:link w:val="NoSpacingChar"/>
    <w:uiPriority w:val="1"/>
    <w:qFormat/>
    <w:rsid w:val="00B70E79"/>
    <w:pPr>
      <w:spacing w:after="0" w:line="240" w:lineRule="auto"/>
    </w:pPr>
  </w:style>
  <w:style w:type="character" w:customStyle="1" w:styleId="NoSpacingChar">
    <w:name w:val="No Spacing Char"/>
    <w:basedOn w:val="DefaultParagraphFont"/>
    <w:link w:val="NoSpacing"/>
    <w:uiPriority w:val="1"/>
    <w:rsid w:val="00FE0AE0"/>
    <w:rPr>
      <w:i/>
      <w:iCs/>
      <w:sz w:val="20"/>
      <w:szCs w:val="20"/>
    </w:rPr>
  </w:style>
  <w:style w:type="paragraph" w:styleId="Header">
    <w:name w:val="header"/>
    <w:basedOn w:val="Normal"/>
    <w:link w:val="HeaderChar"/>
    <w:uiPriority w:val="99"/>
    <w:unhideWhenUsed/>
    <w:rsid w:val="00E1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62"/>
  </w:style>
  <w:style w:type="paragraph" w:styleId="Footer">
    <w:name w:val="footer"/>
    <w:basedOn w:val="Normal"/>
    <w:link w:val="FooterChar"/>
    <w:uiPriority w:val="99"/>
    <w:unhideWhenUsed/>
    <w:rsid w:val="00E1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62"/>
  </w:style>
  <w:style w:type="paragraph" w:customStyle="1" w:styleId="Subheading">
    <w:name w:val="Subheading"/>
    <w:basedOn w:val="Normal"/>
    <w:uiPriority w:val="99"/>
    <w:rsid w:val="008913B5"/>
    <w:pPr>
      <w:numPr>
        <w:numId w:val="1"/>
      </w:numPr>
      <w:spacing w:before="120" w:after="120" w:line="240" w:lineRule="auto"/>
    </w:pPr>
    <w:rPr>
      <w:rFonts w:ascii="Arial" w:eastAsia="Times New Roman" w:hAnsi="Arial" w:cs="Times New Roman"/>
      <w:b/>
      <w:szCs w:val="24"/>
      <w:lang w:eastAsia="en-AU"/>
    </w:rPr>
  </w:style>
  <w:style w:type="paragraph" w:customStyle="1" w:styleId="Text0">
    <w:name w:val="Text"/>
    <w:basedOn w:val="Subheading"/>
    <w:uiPriority w:val="99"/>
    <w:rsid w:val="008913B5"/>
    <w:rPr>
      <w:b w:val="0"/>
    </w:rPr>
  </w:style>
  <w:style w:type="character" w:styleId="Hyperlink">
    <w:name w:val="Hyperlink"/>
    <w:basedOn w:val="DefaultParagraphFont"/>
    <w:uiPriority w:val="99"/>
    <w:unhideWhenUsed/>
    <w:rsid w:val="008913B5"/>
    <w:rPr>
      <w:color w:val="5F5F5F" w:themeColor="hyperlink"/>
      <w:u w:val="single"/>
    </w:rPr>
  </w:style>
  <w:style w:type="paragraph" w:styleId="FootnoteText">
    <w:name w:val="footnote text"/>
    <w:basedOn w:val="Normal"/>
    <w:link w:val="FootnoteTextChar"/>
    <w:rsid w:val="00D66C3C"/>
    <w:pPr>
      <w:spacing w:after="0" w:line="240" w:lineRule="auto"/>
    </w:pPr>
    <w:rPr>
      <w:rFonts w:ascii="Times New Roman" w:eastAsia="Times New Roman" w:hAnsi="Times New Roman" w:cs="Times New Roman"/>
      <w:lang w:eastAsia="en-AU"/>
    </w:rPr>
  </w:style>
  <w:style w:type="character" w:customStyle="1" w:styleId="FootnoteTextChar">
    <w:name w:val="Footnote Text Char"/>
    <w:basedOn w:val="DefaultParagraphFont"/>
    <w:link w:val="FootnoteText"/>
    <w:rsid w:val="00D66C3C"/>
    <w:rPr>
      <w:rFonts w:ascii="Times New Roman" w:eastAsia="Times New Roman" w:hAnsi="Times New Roman" w:cs="Times New Roman"/>
      <w:sz w:val="20"/>
      <w:szCs w:val="20"/>
      <w:lang w:eastAsia="en-AU"/>
    </w:rPr>
  </w:style>
  <w:style w:type="character" w:styleId="FootnoteReference">
    <w:name w:val="footnote reference"/>
    <w:rsid w:val="00D66C3C"/>
    <w:rPr>
      <w:vertAlign w:val="superscript"/>
    </w:rPr>
  </w:style>
  <w:style w:type="paragraph" w:customStyle="1" w:styleId="Default">
    <w:name w:val="Default"/>
    <w:rsid w:val="004107B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3007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42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A06E04"/>
    <w:rPr>
      <w:color w:val="000000"/>
      <w:sz w:val="21"/>
      <w:szCs w:val="21"/>
    </w:rPr>
  </w:style>
  <w:style w:type="paragraph" w:customStyle="1" w:styleId="Pa3">
    <w:name w:val="Pa3"/>
    <w:basedOn w:val="Default"/>
    <w:next w:val="Default"/>
    <w:uiPriority w:val="99"/>
    <w:rsid w:val="00A06E04"/>
    <w:pPr>
      <w:spacing w:line="241" w:lineRule="atLeast"/>
    </w:pPr>
    <w:rPr>
      <w:color w:val="auto"/>
    </w:rPr>
  </w:style>
  <w:style w:type="paragraph" w:styleId="Quote">
    <w:name w:val="Quote"/>
    <w:basedOn w:val="Normal"/>
    <w:next w:val="Normal"/>
    <w:link w:val="QuoteChar"/>
    <w:uiPriority w:val="29"/>
    <w:qFormat/>
    <w:rsid w:val="00B70E79"/>
    <w:rPr>
      <w:i w:val="0"/>
      <w:iCs w:val="0"/>
      <w:color w:val="858585" w:themeColor="accent2" w:themeShade="BF"/>
    </w:rPr>
  </w:style>
  <w:style w:type="character" w:customStyle="1" w:styleId="QuoteChar">
    <w:name w:val="Quote Char"/>
    <w:basedOn w:val="DefaultParagraphFont"/>
    <w:link w:val="Quote"/>
    <w:uiPriority w:val="29"/>
    <w:rsid w:val="00B70E79"/>
    <w:rPr>
      <w:color w:val="858585" w:themeColor="accent2" w:themeShade="BF"/>
      <w:sz w:val="20"/>
      <w:szCs w:val="20"/>
    </w:rPr>
  </w:style>
  <w:style w:type="character" w:styleId="PlaceholderText">
    <w:name w:val="Placeholder Text"/>
    <w:basedOn w:val="DefaultParagraphFont"/>
    <w:uiPriority w:val="99"/>
    <w:semiHidden/>
    <w:rsid w:val="00E43A78"/>
    <w:rPr>
      <w:color w:val="808080"/>
    </w:rPr>
  </w:style>
  <w:style w:type="paragraph" w:customStyle="1" w:styleId="text">
    <w:name w:val="text"/>
    <w:basedOn w:val="Normal"/>
    <w:rsid w:val="0062717A"/>
    <w:pPr>
      <w:numPr>
        <w:numId w:val="9"/>
      </w:numPr>
      <w:spacing w:before="120" w:after="120" w:line="240" w:lineRule="auto"/>
    </w:pPr>
    <w:rPr>
      <w:rFonts w:ascii="Arial" w:eastAsia="Calibri" w:hAnsi="Arial" w:cs="Arial"/>
      <w:lang w:eastAsia="en-AU"/>
    </w:rPr>
  </w:style>
  <w:style w:type="character" w:styleId="CommentReference">
    <w:name w:val="annotation reference"/>
    <w:basedOn w:val="DefaultParagraphFont"/>
    <w:uiPriority w:val="99"/>
    <w:semiHidden/>
    <w:unhideWhenUsed/>
    <w:rsid w:val="00697A98"/>
    <w:rPr>
      <w:sz w:val="16"/>
      <w:szCs w:val="16"/>
    </w:rPr>
  </w:style>
  <w:style w:type="paragraph" w:styleId="CommentText">
    <w:name w:val="annotation text"/>
    <w:basedOn w:val="Normal"/>
    <w:link w:val="CommentTextChar"/>
    <w:uiPriority w:val="99"/>
    <w:unhideWhenUsed/>
    <w:rsid w:val="00697A98"/>
    <w:pPr>
      <w:spacing w:line="240" w:lineRule="auto"/>
    </w:pPr>
  </w:style>
  <w:style w:type="character" w:customStyle="1" w:styleId="CommentTextChar">
    <w:name w:val="Comment Text Char"/>
    <w:basedOn w:val="DefaultParagraphFont"/>
    <w:link w:val="CommentText"/>
    <w:uiPriority w:val="99"/>
    <w:rsid w:val="00697A98"/>
    <w:rPr>
      <w:sz w:val="20"/>
      <w:szCs w:val="20"/>
    </w:rPr>
  </w:style>
  <w:style w:type="paragraph" w:styleId="CommentSubject">
    <w:name w:val="annotation subject"/>
    <w:basedOn w:val="CommentText"/>
    <w:next w:val="CommentText"/>
    <w:link w:val="CommentSubjectChar"/>
    <w:uiPriority w:val="99"/>
    <w:semiHidden/>
    <w:unhideWhenUsed/>
    <w:rsid w:val="00697A98"/>
    <w:rPr>
      <w:b/>
      <w:bCs/>
    </w:rPr>
  </w:style>
  <w:style w:type="character" w:customStyle="1" w:styleId="CommentSubjectChar">
    <w:name w:val="Comment Subject Char"/>
    <w:basedOn w:val="CommentTextChar"/>
    <w:link w:val="CommentSubject"/>
    <w:uiPriority w:val="99"/>
    <w:semiHidden/>
    <w:rsid w:val="00697A98"/>
    <w:rPr>
      <w:b/>
      <w:bCs/>
      <w:sz w:val="20"/>
      <w:szCs w:val="20"/>
    </w:rPr>
  </w:style>
  <w:style w:type="character" w:styleId="FollowedHyperlink">
    <w:name w:val="FollowedHyperlink"/>
    <w:basedOn w:val="DefaultParagraphFont"/>
    <w:uiPriority w:val="99"/>
    <w:semiHidden/>
    <w:unhideWhenUsed/>
    <w:rsid w:val="00A5321B"/>
    <w:rPr>
      <w:color w:val="919191" w:themeColor="followedHyperlink"/>
      <w:u w:val="single"/>
    </w:rPr>
  </w:style>
  <w:style w:type="character" w:customStyle="1" w:styleId="Heading1Char">
    <w:name w:val="Heading 1 Char"/>
    <w:basedOn w:val="DefaultParagraphFont"/>
    <w:link w:val="Heading1"/>
    <w:uiPriority w:val="9"/>
    <w:rsid w:val="00BE783D"/>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2Char">
    <w:name w:val="Heading 2 Char"/>
    <w:basedOn w:val="DefaultParagraphFont"/>
    <w:link w:val="Heading2"/>
    <w:uiPriority w:val="9"/>
    <w:rsid w:val="00BF30CC"/>
    <w:rPr>
      <w:b/>
      <w:iCs/>
    </w:rPr>
  </w:style>
  <w:style w:type="character" w:customStyle="1" w:styleId="Heading3Char">
    <w:name w:val="Heading 3 Char"/>
    <w:basedOn w:val="DefaultParagraphFont"/>
    <w:link w:val="Heading3"/>
    <w:uiPriority w:val="9"/>
    <w:rsid w:val="00565444"/>
    <w:rPr>
      <w:rFonts w:cstheme="minorHAnsi"/>
      <w:b/>
      <w:iCs/>
      <w:color w:val="002060"/>
    </w:rPr>
  </w:style>
  <w:style w:type="character" w:customStyle="1" w:styleId="Heading4Char">
    <w:name w:val="Heading 4 Char"/>
    <w:basedOn w:val="DefaultParagraphFont"/>
    <w:link w:val="Heading4"/>
    <w:uiPriority w:val="9"/>
    <w:semiHidden/>
    <w:rsid w:val="00B70E79"/>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B70E79"/>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B70E79"/>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B70E79"/>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B70E79"/>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B70E79"/>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nhideWhenUsed/>
    <w:qFormat/>
    <w:rsid w:val="00B70E79"/>
    <w:rPr>
      <w:b/>
      <w:bCs/>
      <w:color w:val="858585" w:themeColor="accent2" w:themeShade="BF"/>
      <w:sz w:val="18"/>
      <w:szCs w:val="18"/>
    </w:rPr>
  </w:style>
  <w:style w:type="character" w:styleId="Strong">
    <w:name w:val="Strong"/>
    <w:uiPriority w:val="22"/>
    <w:qFormat/>
    <w:rsid w:val="00B70E79"/>
    <w:rPr>
      <w:b/>
      <w:bCs/>
      <w:spacing w:val="0"/>
    </w:rPr>
  </w:style>
  <w:style w:type="paragraph" w:styleId="Title">
    <w:name w:val="Title"/>
    <w:basedOn w:val="Normal"/>
    <w:next w:val="Normal"/>
    <w:link w:val="TitleChar"/>
    <w:qFormat/>
    <w:rsid w:val="00B70E79"/>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rsid w:val="00B70E79"/>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B70E79"/>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B70E79"/>
    <w:rPr>
      <w:rFonts w:asciiTheme="majorHAnsi" w:eastAsiaTheme="majorEastAsia" w:hAnsiTheme="majorHAnsi" w:cstheme="majorBidi"/>
      <w:i/>
      <w:iCs/>
      <w:color w:val="585858" w:themeColor="accent2" w:themeShade="7F"/>
      <w:sz w:val="24"/>
      <w:szCs w:val="24"/>
    </w:rPr>
  </w:style>
  <w:style w:type="character" w:styleId="Emphasis">
    <w:name w:val="Emphasis"/>
    <w:uiPriority w:val="20"/>
    <w:qFormat/>
    <w:rsid w:val="00B70E79"/>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IntenseQuote">
    <w:name w:val="Intense Quote"/>
    <w:basedOn w:val="Normal"/>
    <w:next w:val="Normal"/>
    <w:link w:val="IntenseQuoteChar"/>
    <w:uiPriority w:val="30"/>
    <w:qFormat/>
    <w:rsid w:val="00B70E79"/>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B70E79"/>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B70E79"/>
    <w:rPr>
      <w:rFonts w:asciiTheme="majorHAnsi" w:eastAsiaTheme="majorEastAsia" w:hAnsiTheme="majorHAnsi" w:cstheme="majorBidi"/>
      <w:i/>
      <w:iCs/>
      <w:color w:val="B2B2B2" w:themeColor="accent2"/>
    </w:rPr>
  </w:style>
  <w:style w:type="character" w:styleId="IntenseEmphasis">
    <w:name w:val="Intense Emphasis"/>
    <w:uiPriority w:val="21"/>
    <w:qFormat/>
    <w:rsid w:val="00B70E79"/>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B70E79"/>
    <w:rPr>
      <w:i/>
      <w:iCs/>
      <w:smallCaps/>
      <w:color w:val="B2B2B2" w:themeColor="accent2"/>
      <w:u w:color="B2B2B2" w:themeColor="accent2"/>
    </w:rPr>
  </w:style>
  <w:style w:type="character" w:styleId="IntenseReference">
    <w:name w:val="Intense Reference"/>
    <w:uiPriority w:val="32"/>
    <w:qFormat/>
    <w:rsid w:val="00B70E79"/>
    <w:rPr>
      <w:b/>
      <w:bCs/>
      <w:i/>
      <w:iCs/>
      <w:smallCaps/>
      <w:color w:val="B2B2B2" w:themeColor="accent2"/>
      <w:u w:color="B2B2B2" w:themeColor="accent2"/>
    </w:rPr>
  </w:style>
  <w:style w:type="character" w:styleId="BookTitle">
    <w:name w:val="Book Title"/>
    <w:uiPriority w:val="33"/>
    <w:qFormat/>
    <w:rsid w:val="00B70E79"/>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B70E79"/>
    <w:pPr>
      <w:outlineLvl w:val="9"/>
    </w:pPr>
    <w:rPr>
      <w:lang w:bidi="en-US"/>
    </w:rPr>
  </w:style>
  <w:style w:type="paragraph" w:styleId="TOC1">
    <w:name w:val="toc 1"/>
    <w:basedOn w:val="Normal"/>
    <w:next w:val="Normal"/>
    <w:autoRedefine/>
    <w:uiPriority w:val="39"/>
    <w:unhideWhenUsed/>
    <w:rsid w:val="00F21666"/>
    <w:pPr>
      <w:tabs>
        <w:tab w:val="right" w:leader="dot" w:pos="9742"/>
      </w:tabs>
      <w:spacing w:after="100"/>
    </w:pPr>
    <w:rPr>
      <w:rFonts w:ascii="Arial" w:hAnsi="Arial" w:cstheme="minorHAnsi"/>
      <w:i w:val="0"/>
      <w:noProof/>
      <w:sz w:val="24"/>
      <w:shd w:val="clear" w:color="auto" w:fill="EFEFEF" w:themeFill="accent2" w:themeFillTint="33"/>
    </w:rPr>
  </w:style>
  <w:style w:type="paragraph" w:styleId="TOC2">
    <w:name w:val="toc 2"/>
    <w:basedOn w:val="Normal"/>
    <w:next w:val="Normal"/>
    <w:autoRedefine/>
    <w:uiPriority w:val="39"/>
    <w:unhideWhenUsed/>
    <w:rsid w:val="00874EBE"/>
    <w:pPr>
      <w:spacing w:after="100"/>
      <w:ind w:left="200"/>
    </w:pPr>
  </w:style>
  <w:style w:type="paragraph" w:styleId="TOC3">
    <w:name w:val="toc 3"/>
    <w:basedOn w:val="Normal"/>
    <w:next w:val="Normal"/>
    <w:autoRedefine/>
    <w:uiPriority w:val="39"/>
    <w:unhideWhenUsed/>
    <w:rsid w:val="00874EBE"/>
    <w:pPr>
      <w:spacing w:after="100"/>
      <w:ind w:left="400"/>
    </w:pPr>
  </w:style>
  <w:style w:type="paragraph" w:customStyle="1" w:styleId="StoryBodytext">
    <w:name w:val="Story Body text"/>
    <w:basedOn w:val="Normal"/>
    <w:link w:val="StoryBodytextChar"/>
    <w:rsid w:val="00FF1B9D"/>
    <w:pPr>
      <w:spacing w:before="40" w:after="180"/>
    </w:pPr>
    <w:rPr>
      <w:rFonts w:cs="Calibri"/>
      <w:lang w:eastAsia="en-AU"/>
    </w:rPr>
  </w:style>
  <w:style w:type="character" w:customStyle="1" w:styleId="StoryBodytextChar">
    <w:name w:val="Story Body text Char"/>
    <w:basedOn w:val="DefaultParagraphFont"/>
    <w:link w:val="StoryBodytext"/>
    <w:rsid w:val="00FF1B9D"/>
    <w:rPr>
      <w:rFonts w:cs="Calibri"/>
      <w:sz w:val="20"/>
      <w:szCs w:val="20"/>
      <w:lang w:eastAsia="en-AU"/>
    </w:rPr>
  </w:style>
  <w:style w:type="paragraph" w:styleId="TableofFigures">
    <w:name w:val="table of figures"/>
    <w:basedOn w:val="Normal"/>
    <w:next w:val="Normal"/>
    <w:uiPriority w:val="99"/>
    <w:unhideWhenUsed/>
    <w:rsid w:val="00855288"/>
    <w:pPr>
      <w:spacing w:after="0" w:line="276" w:lineRule="auto"/>
    </w:pPr>
    <w:rPr>
      <w:rFonts w:eastAsia="Times New Roman"/>
      <w:i w:val="0"/>
      <w:iCs w:val="0"/>
      <w:sz w:val="22"/>
      <w:szCs w:val="22"/>
      <w:lang w:val="en-US"/>
    </w:rPr>
  </w:style>
  <w:style w:type="numbering" w:customStyle="1" w:styleId="DPEstimates">
    <w:name w:val="DP Estimates"/>
    <w:rsid w:val="005575D2"/>
    <w:pPr>
      <w:numPr>
        <w:numId w:val="25"/>
      </w:numPr>
    </w:pPr>
  </w:style>
  <w:style w:type="paragraph" w:styleId="Revision">
    <w:name w:val="Revision"/>
    <w:hidden/>
    <w:uiPriority w:val="99"/>
    <w:semiHidden/>
    <w:rsid w:val="000E51EC"/>
    <w:pPr>
      <w:spacing w:after="0" w:line="240" w:lineRule="auto"/>
    </w:pPr>
    <w:rPr>
      <w:i/>
      <w:iCs/>
      <w:sz w:val="20"/>
      <w:szCs w:val="20"/>
    </w:rPr>
  </w:style>
  <w:style w:type="table" w:styleId="LightList-Accent5">
    <w:name w:val="Light List Accent 5"/>
    <w:basedOn w:val="TableNormal"/>
    <w:uiPriority w:val="61"/>
    <w:rsid w:val="00585B86"/>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951">
      <w:bodyDiv w:val="1"/>
      <w:marLeft w:val="0"/>
      <w:marRight w:val="0"/>
      <w:marTop w:val="0"/>
      <w:marBottom w:val="0"/>
      <w:divBdr>
        <w:top w:val="none" w:sz="0" w:space="0" w:color="auto"/>
        <w:left w:val="none" w:sz="0" w:space="0" w:color="auto"/>
        <w:bottom w:val="none" w:sz="0" w:space="0" w:color="auto"/>
        <w:right w:val="none" w:sz="0" w:space="0" w:color="auto"/>
      </w:divBdr>
    </w:div>
    <w:div w:id="176162025">
      <w:bodyDiv w:val="1"/>
      <w:marLeft w:val="0"/>
      <w:marRight w:val="0"/>
      <w:marTop w:val="0"/>
      <w:marBottom w:val="0"/>
      <w:divBdr>
        <w:top w:val="none" w:sz="0" w:space="0" w:color="auto"/>
        <w:left w:val="none" w:sz="0" w:space="0" w:color="auto"/>
        <w:bottom w:val="none" w:sz="0" w:space="0" w:color="auto"/>
        <w:right w:val="none" w:sz="0" w:space="0" w:color="auto"/>
      </w:divBdr>
    </w:div>
    <w:div w:id="259917284">
      <w:bodyDiv w:val="1"/>
      <w:marLeft w:val="0"/>
      <w:marRight w:val="0"/>
      <w:marTop w:val="0"/>
      <w:marBottom w:val="0"/>
      <w:divBdr>
        <w:top w:val="none" w:sz="0" w:space="0" w:color="auto"/>
        <w:left w:val="none" w:sz="0" w:space="0" w:color="auto"/>
        <w:bottom w:val="none" w:sz="0" w:space="0" w:color="auto"/>
        <w:right w:val="none" w:sz="0" w:space="0" w:color="auto"/>
      </w:divBdr>
    </w:div>
    <w:div w:id="285356329">
      <w:bodyDiv w:val="1"/>
      <w:marLeft w:val="0"/>
      <w:marRight w:val="0"/>
      <w:marTop w:val="0"/>
      <w:marBottom w:val="0"/>
      <w:divBdr>
        <w:top w:val="none" w:sz="0" w:space="0" w:color="auto"/>
        <w:left w:val="none" w:sz="0" w:space="0" w:color="auto"/>
        <w:bottom w:val="none" w:sz="0" w:space="0" w:color="auto"/>
        <w:right w:val="none" w:sz="0" w:space="0" w:color="auto"/>
      </w:divBdr>
      <w:divsChild>
        <w:div w:id="916020326">
          <w:marLeft w:val="0"/>
          <w:marRight w:val="0"/>
          <w:marTop w:val="0"/>
          <w:marBottom w:val="0"/>
          <w:divBdr>
            <w:top w:val="none" w:sz="0" w:space="0" w:color="auto"/>
            <w:left w:val="single" w:sz="8" w:space="15" w:color="000099"/>
            <w:bottom w:val="none" w:sz="0" w:space="0" w:color="auto"/>
            <w:right w:val="none" w:sz="0" w:space="0" w:color="auto"/>
          </w:divBdr>
        </w:div>
      </w:divsChild>
    </w:div>
    <w:div w:id="314995684">
      <w:bodyDiv w:val="1"/>
      <w:marLeft w:val="0"/>
      <w:marRight w:val="0"/>
      <w:marTop w:val="0"/>
      <w:marBottom w:val="0"/>
      <w:divBdr>
        <w:top w:val="none" w:sz="0" w:space="0" w:color="auto"/>
        <w:left w:val="none" w:sz="0" w:space="0" w:color="auto"/>
        <w:bottom w:val="none" w:sz="0" w:space="0" w:color="auto"/>
        <w:right w:val="none" w:sz="0" w:space="0" w:color="auto"/>
      </w:divBdr>
    </w:div>
    <w:div w:id="460533339">
      <w:bodyDiv w:val="1"/>
      <w:marLeft w:val="0"/>
      <w:marRight w:val="0"/>
      <w:marTop w:val="0"/>
      <w:marBottom w:val="0"/>
      <w:divBdr>
        <w:top w:val="none" w:sz="0" w:space="0" w:color="auto"/>
        <w:left w:val="none" w:sz="0" w:space="0" w:color="auto"/>
        <w:bottom w:val="none" w:sz="0" w:space="0" w:color="auto"/>
        <w:right w:val="none" w:sz="0" w:space="0" w:color="auto"/>
      </w:divBdr>
    </w:div>
    <w:div w:id="514854921">
      <w:bodyDiv w:val="1"/>
      <w:marLeft w:val="0"/>
      <w:marRight w:val="0"/>
      <w:marTop w:val="0"/>
      <w:marBottom w:val="0"/>
      <w:divBdr>
        <w:top w:val="none" w:sz="0" w:space="0" w:color="auto"/>
        <w:left w:val="none" w:sz="0" w:space="0" w:color="auto"/>
        <w:bottom w:val="none" w:sz="0" w:space="0" w:color="auto"/>
        <w:right w:val="none" w:sz="0" w:space="0" w:color="auto"/>
      </w:divBdr>
    </w:div>
    <w:div w:id="516576633">
      <w:bodyDiv w:val="1"/>
      <w:marLeft w:val="0"/>
      <w:marRight w:val="0"/>
      <w:marTop w:val="0"/>
      <w:marBottom w:val="0"/>
      <w:divBdr>
        <w:top w:val="none" w:sz="0" w:space="0" w:color="auto"/>
        <w:left w:val="none" w:sz="0" w:space="0" w:color="auto"/>
        <w:bottom w:val="none" w:sz="0" w:space="0" w:color="auto"/>
        <w:right w:val="none" w:sz="0" w:space="0" w:color="auto"/>
      </w:divBdr>
    </w:div>
    <w:div w:id="546994159">
      <w:bodyDiv w:val="1"/>
      <w:marLeft w:val="0"/>
      <w:marRight w:val="0"/>
      <w:marTop w:val="0"/>
      <w:marBottom w:val="0"/>
      <w:divBdr>
        <w:top w:val="none" w:sz="0" w:space="0" w:color="auto"/>
        <w:left w:val="none" w:sz="0" w:space="0" w:color="auto"/>
        <w:bottom w:val="none" w:sz="0" w:space="0" w:color="auto"/>
        <w:right w:val="none" w:sz="0" w:space="0" w:color="auto"/>
      </w:divBdr>
    </w:div>
    <w:div w:id="548148221">
      <w:bodyDiv w:val="1"/>
      <w:marLeft w:val="0"/>
      <w:marRight w:val="0"/>
      <w:marTop w:val="0"/>
      <w:marBottom w:val="0"/>
      <w:divBdr>
        <w:top w:val="none" w:sz="0" w:space="0" w:color="auto"/>
        <w:left w:val="none" w:sz="0" w:space="0" w:color="auto"/>
        <w:bottom w:val="none" w:sz="0" w:space="0" w:color="auto"/>
        <w:right w:val="none" w:sz="0" w:space="0" w:color="auto"/>
      </w:divBdr>
    </w:div>
    <w:div w:id="726532570">
      <w:bodyDiv w:val="1"/>
      <w:marLeft w:val="0"/>
      <w:marRight w:val="0"/>
      <w:marTop w:val="0"/>
      <w:marBottom w:val="0"/>
      <w:divBdr>
        <w:top w:val="none" w:sz="0" w:space="0" w:color="auto"/>
        <w:left w:val="none" w:sz="0" w:space="0" w:color="auto"/>
        <w:bottom w:val="none" w:sz="0" w:space="0" w:color="auto"/>
        <w:right w:val="none" w:sz="0" w:space="0" w:color="auto"/>
      </w:divBdr>
    </w:div>
    <w:div w:id="740176416">
      <w:bodyDiv w:val="1"/>
      <w:marLeft w:val="0"/>
      <w:marRight w:val="0"/>
      <w:marTop w:val="0"/>
      <w:marBottom w:val="0"/>
      <w:divBdr>
        <w:top w:val="none" w:sz="0" w:space="0" w:color="auto"/>
        <w:left w:val="none" w:sz="0" w:space="0" w:color="auto"/>
        <w:bottom w:val="none" w:sz="0" w:space="0" w:color="auto"/>
        <w:right w:val="none" w:sz="0" w:space="0" w:color="auto"/>
      </w:divBdr>
    </w:div>
    <w:div w:id="752510401">
      <w:bodyDiv w:val="1"/>
      <w:marLeft w:val="0"/>
      <w:marRight w:val="0"/>
      <w:marTop w:val="0"/>
      <w:marBottom w:val="0"/>
      <w:divBdr>
        <w:top w:val="none" w:sz="0" w:space="0" w:color="auto"/>
        <w:left w:val="none" w:sz="0" w:space="0" w:color="auto"/>
        <w:bottom w:val="none" w:sz="0" w:space="0" w:color="auto"/>
        <w:right w:val="none" w:sz="0" w:space="0" w:color="auto"/>
      </w:divBdr>
    </w:div>
    <w:div w:id="855727868">
      <w:bodyDiv w:val="1"/>
      <w:marLeft w:val="0"/>
      <w:marRight w:val="0"/>
      <w:marTop w:val="0"/>
      <w:marBottom w:val="0"/>
      <w:divBdr>
        <w:top w:val="none" w:sz="0" w:space="0" w:color="auto"/>
        <w:left w:val="none" w:sz="0" w:space="0" w:color="auto"/>
        <w:bottom w:val="none" w:sz="0" w:space="0" w:color="auto"/>
        <w:right w:val="none" w:sz="0" w:space="0" w:color="auto"/>
      </w:divBdr>
    </w:div>
    <w:div w:id="1060205409">
      <w:bodyDiv w:val="1"/>
      <w:marLeft w:val="0"/>
      <w:marRight w:val="0"/>
      <w:marTop w:val="0"/>
      <w:marBottom w:val="0"/>
      <w:divBdr>
        <w:top w:val="none" w:sz="0" w:space="0" w:color="auto"/>
        <w:left w:val="none" w:sz="0" w:space="0" w:color="auto"/>
        <w:bottom w:val="none" w:sz="0" w:space="0" w:color="auto"/>
        <w:right w:val="none" w:sz="0" w:space="0" w:color="auto"/>
      </w:divBdr>
    </w:div>
    <w:div w:id="1071928459">
      <w:bodyDiv w:val="1"/>
      <w:marLeft w:val="0"/>
      <w:marRight w:val="0"/>
      <w:marTop w:val="0"/>
      <w:marBottom w:val="0"/>
      <w:divBdr>
        <w:top w:val="none" w:sz="0" w:space="0" w:color="auto"/>
        <w:left w:val="none" w:sz="0" w:space="0" w:color="auto"/>
        <w:bottom w:val="none" w:sz="0" w:space="0" w:color="auto"/>
        <w:right w:val="none" w:sz="0" w:space="0" w:color="auto"/>
      </w:divBdr>
    </w:div>
    <w:div w:id="1224831687">
      <w:bodyDiv w:val="1"/>
      <w:marLeft w:val="0"/>
      <w:marRight w:val="0"/>
      <w:marTop w:val="0"/>
      <w:marBottom w:val="0"/>
      <w:divBdr>
        <w:top w:val="none" w:sz="0" w:space="0" w:color="auto"/>
        <w:left w:val="none" w:sz="0" w:space="0" w:color="auto"/>
        <w:bottom w:val="none" w:sz="0" w:space="0" w:color="auto"/>
        <w:right w:val="none" w:sz="0" w:space="0" w:color="auto"/>
      </w:divBdr>
      <w:divsChild>
        <w:div w:id="1544243366">
          <w:marLeft w:val="0"/>
          <w:marRight w:val="0"/>
          <w:marTop w:val="0"/>
          <w:marBottom w:val="0"/>
          <w:divBdr>
            <w:top w:val="none" w:sz="0" w:space="0" w:color="auto"/>
            <w:left w:val="single" w:sz="8" w:space="15" w:color="000099"/>
            <w:bottom w:val="none" w:sz="0" w:space="0" w:color="auto"/>
            <w:right w:val="none" w:sz="0" w:space="0" w:color="auto"/>
          </w:divBdr>
        </w:div>
      </w:divsChild>
    </w:div>
    <w:div w:id="1452045217">
      <w:bodyDiv w:val="1"/>
      <w:marLeft w:val="0"/>
      <w:marRight w:val="0"/>
      <w:marTop w:val="0"/>
      <w:marBottom w:val="0"/>
      <w:divBdr>
        <w:top w:val="none" w:sz="0" w:space="0" w:color="auto"/>
        <w:left w:val="none" w:sz="0" w:space="0" w:color="auto"/>
        <w:bottom w:val="none" w:sz="0" w:space="0" w:color="auto"/>
        <w:right w:val="none" w:sz="0" w:space="0" w:color="auto"/>
      </w:divBdr>
    </w:div>
    <w:div w:id="1497651970">
      <w:bodyDiv w:val="1"/>
      <w:marLeft w:val="0"/>
      <w:marRight w:val="0"/>
      <w:marTop w:val="0"/>
      <w:marBottom w:val="0"/>
      <w:divBdr>
        <w:top w:val="none" w:sz="0" w:space="0" w:color="auto"/>
        <w:left w:val="none" w:sz="0" w:space="0" w:color="auto"/>
        <w:bottom w:val="none" w:sz="0" w:space="0" w:color="auto"/>
        <w:right w:val="none" w:sz="0" w:space="0" w:color="auto"/>
      </w:divBdr>
    </w:div>
    <w:div w:id="1538353894">
      <w:bodyDiv w:val="1"/>
      <w:marLeft w:val="0"/>
      <w:marRight w:val="0"/>
      <w:marTop w:val="0"/>
      <w:marBottom w:val="0"/>
      <w:divBdr>
        <w:top w:val="none" w:sz="0" w:space="0" w:color="auto"/>
        <w:left w:val="none" w:sz="0" w:space="0" w:color="auto"/>
        <w:bottom w:val="none" w:sz="0" w:space="0" w:color="auto"/>
        <w:right w:val="none" w:sz="0" w:space="0" w:color="auto"/>
      </w:divBdr>
    </w:div>
    <w:div w:id="1603758646">
      <w:bodyDiv w:val="1"/>
      <w:marLeft w:val="0"/>
      <w:marRight w:val="0"/>
      <w:marTop w:val="0"/>
      <w:marBottom w:val="0"/>
      <w:divBdr>
        <w:top w:val="none" w:sz="0" w:space="0" w:color="auto"/>
        <w:left w:val="none" w:sz="0" w:space="0" w:color="auto"/>
        <w:bottom w:val="none" w:sz="0" w:space="0" w:color="auto"/>
        <w:right w:val="none" w:sz="0" w:space="0" w:color="auto"/>
      </w:divBdr>
    </w:div>
    <w:div w:id="1608150166">
      <w:bodyDiv w:val="1"/>
      <w:marLeft w:val="0"/>
      <w:marRight w:val="0"/>
      <w:marTop w:val="0"/>
      <w:marBottom w:val="0"/>
      <w:divBdr>
        <w:top w:val="none" w:sz="0" w:space="0" w:color="auto"/>
        <w:left w:val="none" w:sz="0" w:space="0" w:color="auto"/>
        <w:bottom w:val="none" w:sz="0" w:space="0" w:color="auto"/>
        <w:right w:val="none" w:sz="0" w:space="0" w:color="auto"/>
      </w:divBdr>
    </w:div>
    <w:div w:id="1774478361">
      <w:bodyDiv w:val="1"/>
      <w:marLeft w:val="0"/>
      <w:marRight w:val="0"/>
      <w:marTop w:val="0"/>
      <w:marBottom w:val="0"/>
      <w:divBdr>
        <w:top w:val="none" w:sz="0" w:space="0" w:color="auto"/>
        <w:left w:val="none" w:sz="0" w:space="0" w:color="auto"/>
        <w:bottom w:val="none" w:sz="0" w:space="0" w:color="auto"/>
        <w:right w:val="none" w:sz="0" w:space="0" w:color="auto"/>
      </w:divBdr>
      <w:divsChild>
        <w:div w:id="2030718073">
          <w:marLeft w:val="0"/>
          <w:marRight w:val="0"/>
          <w:marTop w:val="0"/>
          <w:marBottom w:val="0"/>
          <w:divBdr>
            <w:top w:val="none" w:sz="0" w:space="0" w:color="auto"/>
            <w:left w:val="none" w:sz="0" w:space="0" w:color="auto"/>
            <w:bottom w:val="none" w:sz="0" w:space="0" w:color="auto"/>
            <w:right w:val="none" w:sz="0" w:space="0" w:color="auto"/>
          </w:divBdr>
          <w:divsChild>
            <w:div w:id="258485227">
              <w:marLeft w:val="0"/>
              <w:marRight w:val="0"/>
              <w:marTop w:val="0"/>
              <w:marBottom w:val="0"/>
              <w:divBdr>
                <w:top w:val="none" w:sz="0" w:space="0" w:color="auto"/>
                <w:left w:val="none" w:sz="0" w:space="0" w:color="auto"/>
                <w:bottom w:val="none" w:sz="0" w:space="0" w:color="auto"/>
                <w:right w:val="none" w:sz="0" w:space="0" w:color="auto"/>
              </w:divBdr>
              <w:divsChild>
                <w:div w:id="2041201752">
                  <w:marLeft w:val="900"/>
                  <w:marRight w:val="0"/>
                  <w:marTop w:val="375"/>
                  <w:marBottom w:val="600"/>
                  <w:divBdr>
                    <w:top w:val="none" w:sz="0" w:space="0" w:color="auto"/>
                    <w:left w:val="none" w:sz="0" w:space="0" w:color="auto"/>
                    <w:bottom w:val="none" w:sz="0" w:space="0" w:color="auto"/>
                    <w:right w:val="none" w:sz="0" w:space="0" w:color="auto"/>
                  </w:divBdr>
                </w:div>
              </w:divsChild>
            </w:div>
          </w:divsChild>
        </w:div>
      </w:divsChild>
    </w:div>
    <w:div w:id="1863470234">
      <w:bodyDiv w:val="1"/>
      <w:marLeft w:val="0"/>
      <w:marRight w:val="0"/>
      <w:marTop w:val="0"/>
      <w:marBottom w:val="0"/>
      <w:divBdr>
        <w:top w:val="none" w:sz="0" w:space="0" w:color="auto"/>
        <w:left w:val="none" w:sz="0" w:space="0" w:color="auto"/>
        <w:bottom w:val="none" w:sz="0" w:space="0" w:color="auto"/>
        <w:right w:val="none" w:sz="0" w:space="0" w:color="auto"/>
      </w:divBdr>
    </w:div>
    <w:div w:id="1869751952">
      <w:bodyDiv w:val="1"/>
      <w:marLeft w:val="0"/>
      <w:marRight w:val="0"/>
      <w:marTop w:val="0"/>
      <w:marBottom w:val="0"/>
      <w:divBdr>
        <w:top w:val="none" w:sz="0" w:space="0" w:color="auto"/>
        <w:left w:val="none" w:sz="0" w:space="0" w:color="auto"/>
        <w:bottom w:val="none" w:sz="0" w:space="0" w:color="auto"/>
        <w:right w:val="none" w:sz="0" w:space="0" w:color="auto"/>
      </w:divBdr>
    </w:div>
    <w:div w:id="20526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2.xm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dcq.qld.gov.au" TargetMode="Externa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chart" Target="charts/chart5.xml"/><Relationship Id="rId27"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49164677804295"/>
          <c:y val="9.6153846153846159E-2"/>
          <c:w val="0.72792362768496421"/>
          <c:h val="0.68846153846153846"/>
        </c:manualLayout>
      </c:layout>
      <c:barChart>
        <c:barDir val="col"/>
        <c:grouping val="clustered"/>
        <c:varyColors val="0"/>
        <c:ser>
          <c:idx val="0"/>
          <c:order val="0"/>
          <c:tx>
            <c:strRef>
              <c:f>'FE030709'!$I$121</c:f>
              <c:strCache>
                <c:ptCount val="1"/>
                <c:pt idx="0">
                  <c:v>2013</c:v>
                </c:pt>
              </c:strCache>
            </c:strRef>
          </c:tx>
          <c:spPr>
            <a:solidFill>
              <a:srgbClr val="9999FF"/>
            </a:solidFill>
            <a:ln w="12700">
              <a:solidFill>
                <a:srgbClr val="000000"/>
              </a:solidFill>
              <a:prstDash val="solid"/>
            </a:ln>
          </c:spPr>
          <c:invertIfNegative val="0"/>
          <c:cat>
            <c:strRef>
              <c:f>'FE030709'!$G$122:$H$126</c:f>
              <c:strCache>
                <c:ptCount val="5"/>
                <c:pt idx="0">
                  <c:v>Permanent</c:v>
                </c:pt>
                <c:pt idx="1">
                  <c:v>Temporary and casual</c:v>
                </c:pt>
                <c:pt idx="2">
                  <c:v>Full-time</c:v>
                </c:pt>
                <c:pt idx="3">
                  <c:v>Female</c:v>
                </c:pt>
                <c:pt idx="4">
                  <c:v>Male</c:v>
                </c:pt>
              </c:strCache>
            </c:strRef>
          </c:cat>
          <c:val>
            <c:numRef>
              <c:f>'FE030709'!$I$122:$I$126</c:f>
              <c:numCache>
                <c:formatCode>0%</c:formatCode>
                <c:ptCount val="5"/>
                <c:pt idx="0">
                  <c:v>0.86</c:v>
                </c:pt>
                <c:pt idx="1">
                  <c:v>0.14000000000000001</c:v>
                </c:pt>
                <c:pt idx="2">
                  <c:v>0.82</c:v>
                </c:pt>
                <c:pt idx="3">
                  <c:v>0.75</c:v>
                </c:pt>
                <c:pt idx="4">
                  <c:v>0.25</c:v>
                </c:pt>
              </c:numCache>
            </c:numRef>
          </c:val>
        </c:ser>
        <c:ser>
          <c:idx val="1"/>
          <c:order val="1"/>
          <c:tx>
            <c:strRef>
              <c:f>'FE030709'!$J$121</c:f>
              <c:strCache>
                <c:ptCount val="1"/>
                <c:pt idx="0">
                  <c:v>2014</c:v>
                </c:pt>
              </c:strCache>
            </c:strRef>
          </c:tx>
          <c:spPr>
            <a:solidFill>
              <a:srgbClr val="993366"/>
            </a:solidFill>
            <a:ln w="12700">
              <a:solidFill>
                <a:srgbClr val="000000"/>
              </a:solidFill>
              <a:prstDash val="solid"/>
            </a:ln>
          </c:spPr>
          <c:invertIfNegative val="0"/>
          <c:cat>
            <c:strRef>
              <c:f>'FE030709'!$G$122:$H$126</c:f>
              <c:strCache>
                <c:ptCount val="5"/>
                <c:pt idx="0">
                  <c:v>Permanent</c:v>
                </c:pt>
                <c:pt idx="1">
                  <c:v>Temporary and casual</c:v>
                </c:pt>
                <c:pt idx="2">
                  <c:v>Full-time</c:v>
                </c:pt>
                <c:pt idx="3">
                  <c:v>Female</c:v>
                </c:pt>
                <c:pt idx="4">
                  <c:v>Male</c:v>
                </c:pt>
              </c:strCache>
            </c:strRef>
          </c:cat>
          <c:val>
            <c:numRef>
              <c:f>'FE030709'!$J$122:$J$126</c:f>
              <c:numCache>
                <c:formatCode>0%</c:formatCode>
                <c:ptCount val="5"/>
                <c:pt idx="0">
                  <c:v>0.9</c:v>
                </c:pt>
                <c:pt idx="1">
                  <c:v>0.1</c:v>
                </c:pt>
                <c:pt idx="2">
                  <c:v>0.75</c:v>
                </c:pt>
                <c:pt idx="3">
                  <c:v>0.79</c:v>
                </c:pt>
                <c:pt idx="4">
                  <c:v>0.21</c:v>
                </c:pt>
              </c:numCache>
            </c:numRef>
          </c:val>
        </c:ser>
        <c:dLbls>
          <c:showLegendKey val="0"/>
          <c:showVal val="0"/>
          <c:showCatName val="0"/>
          <c:showSerName val="0"/>
          <c:showPercent val="0"/>
          <c:showBubbleSize val="0"/>
        </c:dLbls>
        <c:gapWidth val="150"/>
        <c:axId val="206156160"/>
        <c:axId val="206157696"/>
      </c:barChart>
      <c:catAx>
        <c:axId val="206156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6157696"/>
        <c:crosses val="autoZero"/>
        <c:auto val="1"/>
        <c:lblAlgn val="ctr"/>
        <c:lblOffset val="100"/>
        <c:tickLblSkip val="1"/>
        <c:tickMarkSkip val="1"/>
        <c:noMultiLvlLbl val="0"/>
      </c:catAx>
      <c:valAx>
        <c:axId val="20615769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6156160"/>
        <c:crosses val="autoZero"/>
        <c:crossBetween val="between"/>
      </c:valAx>
      <c:spPr>
        <a:solidFill>
          <a:srgbClr val="C0C0C0"/>
        </a:solidFill>
        <a:ln w="12700">
          <a:solidFill>
            <a:srgbClr val="808080"/>
          </a:solidFill>
          <a:prstDash val="solid"/>
        </a:ln>
      </c:spPr>
    </c:plotArea>
    <c:legend>
      <c:legendPos val="r"/>
      <c:layout>
        <c:manualLayout>
          <c:xMode val="edge"/>
          <c:yMode val="edge"/>
          <c:x val="0.88066825775656321"/>
          <c:y val="0.36538461538461536"/>
          <c:w val="0.10023866348448687"/>
          <c:h val="0.1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en-AU"/>
              <a:t>Net Worth</a:t>
            </a:r>
          </a:p>
        </c:rich>
      </c:tx>
      <c:layout>
        <c:manualLayout>
          <c:xMode val="edge"/>
          <c:yMode val="edge"/>
          <c:x val="0.43028846153846156"/>
          <c:y val="4.1152180818162062E-2"/>
        </c:manualLayout>
      </c:layout>
      <c:overlay val="0"/>
      <c:spPr>
        <a:noFill/>
        <a:ln w="25400">
          <a:noFill/>
        </a:ln>
      </c:spPr>
    </c:title>
    <c:autoTitleDeleted val="0"/>
    <c:plotArea>
      <c:layout>
        <c:manualLayout>
          <c:layoutTarget val="inner"/>
          <c:xMode val="edge"/>
          <c:yMode val="edge"/>
          <c:x val="0.125"/>
          <c:y val="0.22633835816276912"/>
          <c:w val="0.72836538461538458"/>
          <c:h val="0.51440535946083887"/>
        </c:manualLayout>
      </c:layout>
      <c:barChart>
        <c:barDir val="col"/>
        <c:grouping val="clustered"/>
        <c:varyColors val="0"/>
        <c:ser>
          <c:idx val="0"/>
          <c:order val="0"/>
          <c:tx>
            <c:strRef>
              <c:f>'Balance Sheet'!$S$4</c:f>
              <c:strCache>
                <c:ptCount val="1"/>
                <c:pt idx="0">
                  <c:v>2014</c:v>
                </c:pt>
              </c:strCache>
            </c:strRef>
          </c:tx>
          <c:spPr>
            <a:solidFill>
              <a:srgbClr val="9999FF"/>
            </a:solidFill>
            <a:ln w="12700">
              <a:solidFill>
                <a:srgbClr val="000000"/>
              </a:solidFill>
              <a:prstDash val="solid"/>
            </a:ln>
          </c:spPr>
          <c:invertIfNegative val="0"/>
          <c:cat>
            <c:strRef>
              <c:f>'Balance Sheet'!$R$5:$R$7</c:f>
              <c:strCache>
                <c:ptCount val="3"/>
                <c:pt idx="0">
                  <c:v>Assets</c:v>
                </c:pt>
                <c:pt idx="1">
                  <c:v>Liabilities</c:v>
                </c:pt>
                <c:pt idx="2">
                  <c:v>Net Worth</c:v>
                </c:pt>
              </c:strCache>
            </c:strRef>
          </c:cat>
          <c:val>
            <c:numRef>
              <c:f>'Balance Sheet'!$S$5:$S$7</c:f>
              <c:numCache>
                <c:formatCode>#,##0</c:formatCode>
                <c:ptCount val="3"/>
                <c:pt idx="0">
                  <c:v>2426</c:v>
                </c:pt>
                <c:pt idx="1">
                  <c:v>940</c:v>
                </c:pt>
                <c:pt idx="2">
                  <c:v>1486</c:v>
                </c:pt>
              </c:numCache>
            </c:numRef>
          </c:val>
        </c:ser>
        <c:ser>
          <c:idx val="1"/>
          <c:order val="1"/>
          <c:tx>
            <c:strRef>
              <c:f>'Balance Sheet'!$T$4</c:f>
              <c:strCache>
                <c:ptCount val="1"/>
                <c:pt idx="0">
                  <c:v>2013</c:v>
                </c:pt>
              </c:strCache>
            </c:strRef>
          </c:tx>
          <c:spPr>
            <a:solidFill>
              <a:srgbClr val="993366"/>
            </a:solidFill>
            <a:ln w="12700">
              <a:solidFill>
                <a:srgbClr val="000000"/>
              </a:solidFill>
              <a:prstDash val="solid"/>
            </a:ln>
          </c:spPr>
          <c:invertIfNegative val="0"/>
          <c:cat>
            <c:strRef>
              <c:f>'Balance Sheet'!$R$5:$R$7</c:f>
              <c:strCache>
                <c:ptCount val="3"/>
                <c:pt idx="0">
                  <c:v>Assets</c:v>
                </c:pt>
                <c:pt idx="1">
                  <c:v>Liabilities</c:v>
                </c:pt>
                <c:pt idx="2">
                  <c:v>Net Worth</c:v>
                </c:pt>
              </c:strCache>
            </c:strRef>
          </c:cat>
          <c:val>
            <c:numRef>
              <c:f>'Balance Sheet'!$T$5:$T$7</c:f>
              <c:numCache>
                <c:formatCode>#,##0</c:formatCode>
                <c:ptCount val="3"/>
                <c:pt idx="0">
                  <c:v>2574</c:v>
                </c:pt>
                <c:pt idx="1">
                  <c:v>1013</c:v>
                </c:pt>
                <c:pt idx="2">
                  <c:v>1561</c:v>
                </c:pt>
              </c:numCache>
            </c:numRef>
          </c:val>
        </c:ser>
        <c:dLbls>
          <c:showLegendKey val="0"/>
          <c:showVal val="0"/>
          <c:showCatName val="0"/>
          <c:showSerName val="0"/>
          <c:showPercent val="0"/>
          <c:showBubbleSize val="0"/>
        </c:dLbls>
        <c:gapWidth val="150"/>
        <c:axId val="206653312"/>
        <c:axId val="206655488"/>
      </c:barChart>
      <c:catAx>
        <c:axId val="20665331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AU"/>
                  <a:t>$'000</a:t>
                </a:r>
              </a:p>
            </c:rich>
          </c:tx>
          <c:layout>
            <c:manualLayout>
              <c:xMode val="edge"/>
              <c:yMode val="edge"/>
              <c:x val="0.45192307692307693"/>
              <c:y val="0.851855241820887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6655488"/>
        <c:crosses val="autoZero"/>
        <c:auto val="1"/>
        <c:lblAlgn val="ctr"/>
        <c:lblOffset val="100"/>
        <c:tickLblSkip val="1"/>
        <c:tickMarkSkip val="1"/>
        <c:noMultiLvlLbl val="0"/>
      </c:catAx>
      <c:valAx>
        <c:axId val="20665548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6653312"/>
        <c:crosses val="autoZero"/>
        <c:crossBetween val="between"/>
      </c:valAx>
      <c:spPr>
        <a:solidFill>
          <a:srgbClr val="C0C0C0"/>
        </a:solidFill>
        <a:ln w="12700">
          <a:solidFill>
            <a:srgbClr val="808080"/>
          </a:solidFill>
          <a:prstDash val="solid"/>
        </a:ln>
      </c:spPr>
    </c:plotArea>
    <c:legend>
      <c:legendPos val="r"/>
      <c:layout>
        <c:manualLayout>
          <c:xMode val="edge"/>
          <c:yMode val="edge"/>
          <c:x val="0.88077074500302843"/>
          <c:y val="0.41401273885350315"/>
          <c:w val="0.10192332929537651"/>
          <c:h val="0.15605095541401276"/>
        </c:manualLayout>
      </c:layout>
      <c:overlay val="0"/>
      <c:spPr>
        <a:solidFill>
          <a:srgbClr val="FFFFFF"/>
        </a:solidFill>
        <a:ln w="3175">
          <a:solidFill>
            <a:srgbClr val="000000"/>
          </a:solidFill>
          <a:prstDash val="solid"/>
        </a:ln>
      </c:spPr>
      <c:txPr>
        <a:bodyPr/>
        <a:lstStyle/>
        <a:p>
          <a:pPr>
            <a:defRPr sz="57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AU"/>
              <a:t>Income Comparison</a:t>
            </a:r>
          </a:p>
        </c:rich>
      </c:tx>
      <c:layout>
        <c:manualLayout>
          <c:xMode val="edge"/>
          <c:yMode val="edge"/>
          <c:x val="0.37055074421715212"/>
          <c:y val="3.2828391568241473E-2"/>
        </c:manualLayout>
      </c:layout>
      <c:overlay val="0"/>
      <c:spPr>
        <a:noFill/>
        <a:ln w="25400">
          <a:noFill/>
        </a:ln>
      </c:spPr>
    </c:title>
    <c:autoTitleDeleted val="0"/>
    <c:plotArea>
      <c:layout>
        <c:manualLayout>
          <c:layoutTarget val="inner"/>
          <c:xMode val="edge"/>
          <c:yMode val="edge"/>
          <c:x val="0.13430441934734549"/>
          <c:y val="0.17676811268967185"/>
          <c:w val="0.72815649043741537"/>
          <c:h val="0.66666831071533383"/>
        </c:manualLayout>
      </c:layout>
      <c:barChart>
        <c:barDir val="col"/>
        <c:grouping val="clustered"/>
        <c:varyColors val="0"/>
        <c:ser>
          <c:idx val="0"/>
          <c:order val="0"/>
          <c:tx>
            <c:strRef>
              <c:f>'Operating Statement'!$B$8</c:f>
              <c:strCache>
                <c:ptCount val="1"/>
                <c:pt idx="0">
                  <c:v>2013/14</c:v>
                </c:pt>
              </c:strCache>
            </c:strRef>
          </c:tx>
          <c:spPr>
            <a:solidFill>
              <a:srgbClr val="9999FF"/>
            </a:solidFill>
            <a:ln w="12700">
              <a:solidFill>
                <a:srgbClr val="000000"/>
              </a:solidFill>
              <a:prstDash val="solid"/>
            </a:ln>
          </c:spPr>
          <c:invertIfNegative val="0"/>
          <c:cat>
            <c:strRef>
              <c:f>'Operating Statement'!$A$9:$A$12</c:f>
              <c:strCache>
                <c:ptCount val="4"/>
                <c:pt idx="0">
                  <c:v>User charges</c:v>
                </c:pt>
                <c:pt idx="1">
                  <c:v>Grants</c:v>
                </c:pt>
                <c:pt idx="2">
                  <c:v>Other revenues</c:v>
                </c:pt>
                <c:pt idx="3">
                  <c:v>Total Income</c:v>
                </c:pt>
              </c:strCache>
            </c:strRef>
          </c:cat>
          <c:val>
            <c:numRef>
              <c:f>'Operating Statement'!$B$9:$B$12</c:f>
              <c:numCache>
                <c:formatCode>#,##0</c:formatCode>
                <c:ptCount val="4"/>
                <c:pt idx="0">
                  <c:v>193</c:v>
                </c:pt>
                <c:pt idx="1">
                  <c:v>5045</c:v>
                </c:pt>
                <c:pt idx="2">
                  <c:v>49</c:v>
                </c:pt>
                <c:pt idx="3">
                  <c:v>5287</c:v>
                </c:pt>
              </c:numCache>
            </c:numRef>
          </c:val>
        </c:ser>
        <c:ser>
          <c:idx val="1"/>
          <c:order val="1"/>
          <c:tx>
            <c:strRef>
              <c:f>'Operating Statement'!$C$8</c:f>
              <c:strCache>
                <c:ptCount val="1"/>
                <c:pt idx="0">
                  <c:v>2012/13</c:v>
                </c:pt>
              </c:strCache>
            </c:strRef>
          </c:tx>
          <c:spPr>
            <a:solidFill>
              <a:srgbClr val="993366"/>
            </a:solidFill>
            <a:ln w="12700">
              <a:solidFill>
                <a:srgbClr val="000000"/>
              </a:solidFill>
              <a:prstDash val="solid"/>
            </a:ln>
          </c:spPr>
          <c:invertIfNegative val="0"/>
          <c:cat>
            <c:strRef>
              <c:f>'Operating Statement'!$A$9:$A$12</c:f>
              <c:strCache>
                <c:ptCount val="4"/>
                <c:pt idx="0">
                  <c:v>User charges</c:v>
                </c:pt>
                <c:pt idx="1">
                  <c:v>Grants</c:v>
                </c:pt>
                <c:pt idx="2">
                  <c:v>Other revenues</c:v>
                </c:pt>
                <c:pt idx="3">
                  <c:v>Total Income</c:v>
                </c:pt>
              </c:strCache>
            </c:strRef>
          </c:cat>
          <c:val>
            <c:numRef>
              <c:f>'Operating Statement'!$C$9:$C$12</c:f>
              <c:numCache>
                <c:formatCode>#,##0</c:formatCode>
                <c:ptCount val="4"/>
                <c:pt idx="0">
                  <c:v>173</c:v>
                </c:pt>
                <c:pt idx="1">
                  <c:v>4970</c:v>
                </c:pt>
                <c:pt idx="2">
                  <c:v>78</c:v>
                </c:pt>
                <c:pt idx="3">
                  <c:v>5221</c:v>
                </c:pt>
              </c:numCache>
            </c:numRef>
          </c:val>
        </c:ser>
        <c:dLbls>
          <c:showLegendKey val="0"/>
          <c:showVal val="0"/>
          <c:showCatName val="0"/>
          <c:showSerName val="0"/>
          <c:showPercent val="0"/>
          <c:showBubbleSize val="0"/>
        </c:dLbls>
        <c:gapWidth val="150"/>
        <c:axId val="206671232"/>
        <c:axId val="206693504"/>
      </c:barChart>
      <c:catAx>
        <c:axId val="2066712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6693504"/>
        <c:crosses val="autoZero"/>
        <c:auto val="1"/>
        <c:lblAlgn val="ctr"/>
        <c:lblOffset val="100"/>
        <c:tickLblSkip val="1"/>
        <c:tickMarkSkip val="1"/>
        <c:noMultiLvlLbl val="0"/>
      </c:catAx>
      <c:valAx>
        <c:axId val="20669350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AU"/>
                  <a:t>$'000</a:t>
                </a:r>
              </a:p>
            </c:rich>
          </c:tx>
          <c:layout>
            <c:manualLayout>
              <c:xMode val="edge"/>
              <c:yMode val="edge"/>
              <c:x val="2.5889985582788065E-2"/>
              <c:y val="0.46717289000984258"/>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6671232"/>
        <c:crosses val="autoZero"/>
        <c:crossBetween val="between"/>
      </c:valAx>
      <c:spPr>
        <a:solidFill>
          <a:srgbClr val="C0C0C0"/>
        </a:solidFill>
        <a:ln w="12700">
          <a:solidFill>
            <a:srgbClr val="808080"/>
          </a:solidFill>
          <a:prstDash val="solid"/>
        </a:ln>
      </c:spPr>
    </c:plotArea>
    <c:legend>
      <c:legendPos val="r"/>
      <c:layout>
        <c:manualLayout>
          <c:xMode val="edge"/>
          <c:yMode val="edge"/>
          <c:x val="0.88092239910472125"/>
          <c:y val="0.46679764394685042"/>
          <c:w val="0.10627400768245843"/>
          <c:h val="0.10546900631561684"/>
        </c:manualLayout>
      </c:layout>
      <c:overlay val="0"/>
      <c:spPr>
        <a:solidFill>
          <a:srgbClr val="FFFFFF"/>
        </a:solidFill>
        <a:ln w="3175">
          <a:solidFill>
            <a:srgbClr val="000000"/>
          </a:solidFill>
          <a:prstDash val="solid"/>
        </a:ln>
      </c:spPr>
      <c:txPr>
        <a:bodyPr/>
        <a:lstStyle/>
        <a:p>
          <a:pPr>
            <a:defRPr sz="71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3744190298181207"/>
          <c:y val="0.38019228639221991"/>
          <c:w val="0.25348865993897612"/>
          <c:h val="0.34824335476262164"/>
        </c:manualLayout>
      </c:layout>
      <c:pie3DChart>
        <c:varyColors val="1"/>
        <c:ser>
          <c:idx val="0"/>
          <c:order val="0"/>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7.2724957529859385E-2"/>
                  <c:y val="3.496596228755261E-2"/>
                </c:manualLayout>
              </c:layout>
              <c:dLblPos val="bestFit"/>
              <c:showLegendKey val="0"/>
              <c:showVal val="0"/>
              <c:showCatName val="1"/>
              <c:showSerName val="0"/>
              <c:showPercent val="1"/>
              <c:showBubbleSize val="0"/>
            </c:dLbl>
            <c:dLbl>
              <c:idx val="2"/>
              <c:layout>
                <c:manualLayout>
                  <c:x val="-0.12765645325008271"/>
                  <c:y val="-1.9385932998890999E-2"/>
                </c:manualLayout>
              </c:layout>
              <c:dLblPos val="bestFit"/>
              <c:showLegendKey val="0"/>
              <c:showVal val="0"/>
              <c:showCatName val="1"/>
              <c:showSerName val="0"/>
              <c:showPercent val="1"/>
              <c:showBubbleSize val="0"/>
            </c:dLbl>
            <c:dLbl>
              <c:idx val="3"/>
              <c:layout>
                <c:manualLayout>
                  <c:x val="0.23528314255963845"/>
                  <c:y val="-7.4483672246742863E-2"/>
                </c:manualLayout>
              </c:layout>
              <c:dLblPos val="bestFit"/>
              <c:showLegendKey val="0"/>
              <c:showVal val="0"/>
              <c:showCatName val="1"/>
              <c:showSerName val="0"/>
              <c:showPercent val="1"/>
              <c:showBubbleSize val="0"/>
            </c:dLbl>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'Operating Statement'!$A$16:$A$19</c:f>
              <c:strCache>
                <c:ptCount val="4"/>
                <c:pt idx="0">
                  <c:v>Employee expenses</c:v>
                </c:pt>
                <c:pt idx="1">
                  <c:v>Supplies and services</c:v>
                </c:pt>
                <c:pt idx="2">
                  <c:v>Depreciation</c:v>
                </c:pt>
                <c:pt idx="3">
                  <c:v>Other expenses</c:v>
                </c:pt>
              </c:strCache>
            </c:strRef>
          </c:cat>
          <c:val>
            <c:numRef>
              <c:f>'Operating Statement'!$B$16:$B$19</c:f>
              <c:numCache>
                <c:formatCode>#,##0</c:formatCode>
                <c:ptCount val="4"/>
                <c:pt idx="0">
                  <c:v>3454</c:v>
                </c:pt>
                <c:pt idx="1">
                  <c:v>1601</c:v>
                </c:pt>
                <c:pt idx="2">
                  <c:v>267</c:v>
                </c:pt>
                <c:pt idx="3">
                  <c:v>40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b="1"/>
              <a:t>Asset Portfolio</a:t>
            </a:r>
          </a:p>
        </c:rich>
      </c:tx>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102157602524684"/>
          <c:y val="0.30337189611092619"/>
          <c:w val="0.6603333074308142"/>
          <c:h val="0.41573185763349146"/>
        </c:manualLayout>
      </c:layout>
      <c:pie3DChart>
        <c:varyColors val="1"/>
        <c:ser>
          <c:idx val="0"/>
          <c:order val="0"/>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Lbl>
              <c:idx val="0"/>
              <c:layout>
                <c:manualLayout>
                  <c:x val="-6.684472041944875E-2"/>
                  <c:y val="-0.10461411424695509"/>
                </c:manualLayout>
              </c:layout>
              <c:dLblPos val="bestFit"/>
              <c:showLegendKey val="0"/>
              <c:showVal val="0"/>
              <c:showCatName val="1"/>
              <c:showSerName val="0"/>
              <c:showPercent val="1"/>
              <c:showBubbleSize val="0"/>
            </c:dLbl>
            <c:dLbl>
              <c:idx val="1"/>
              <c:layout>
                <c:manualLayout>
                  <c:x val="0.11700575432821492"/>
                  <c:y val="7.5428942168745766E-2"/>
                </c:manualLayout>
              </c:layout>
              <c:dLblPos val="bestFit"/>
              <c:showLegendKey val="0"/>
              <c:showVal val="0"/>
              <c:showCatName val="1"/>
              <c:showSerName val="0"/>
              <c:showPercent val="1"/>
              <c:showBubbleSize val="0"/>
            </c:dLbl>
            <c:dLbl>
              <c:idx val="2"/>
              <c:layout>
                <c:manualLayout>
                  <c:x val="-9.916895779951496E-3"/>
                  <c:y val="-6.2122347066167288E-2"/>
                </c:manualLayout>
              </c:layout>
              <c:dLblPos val="bestFit"/>
              <c:showLegendKey val="0"/>
              <c:showVal val="0"/>
              <c:showCatName val="1"/>
              <c:showSerName val="0"/>
              <c:showPercent val="1"/>
              <c:showBubbleSize val="0"/>
            </c:dLbl>
            <c:dLbl>
              <c:idx val="4"/>
              <c:layout>
                <c:manualLayout>
                  <c:x val="4.7276263863691624E-2"/>
                  <c:y val="-4.1815447226400071E-2"/>
                </c:manualLayout>
              </c:layout>
              <c:dLblPos val="bestFit"/>
              <c:showLegendKey val="0"/>
              <c:showVal val="0"/>
              <c:showCatName val="1"/>
              <c:showSerName val="0"/>
              <c:showPercent val="1"/>
              <c:showBubbleSize val="0"/>
            </c:dLbl>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'Balance Sheet'!$F$5:$F$9</c:f>
              <c:strCache>
                <c:ptCount val="5"/>
                <c:pt idx="0">
                  <c:v>Cash</c:v>
                </c:pt>
                <c:pt idx="1">
                  <c:v>Plant &amp; Equipment</c:v>
                </c:pt>
                <c:pt idx="2">
                  <c:v>Intangible Assets</c:v>
                </c:pt>
                <c:pt idx="3">
                  <c:v>Receivables</c:v>
                </c:pt>
                <c:pt idx="4">
                  <c:v>Other</c:v>
                </c:pt>
              </c:strCache>
            </c:strRef>
          </c:cat>
          <c:val>
            <c:numRef>
              <c:f>'Balance Sheet'!$G$5:$G$9</c:f>
              <c:numCache>
                <c:formatCode>#,##0</c:formatCode>
                <c:ptCount val="5"/>
                <c:pt idx="0">
                  <c:v>475</c:v>
                </c:pt>
                <c:pt idx="1">
                  <c:v>1374</c:v>
                </c:pt>
                <c:pt idx="2">
                  <c:v>320</c:v>
                </c:pt>
                <c:pt idx="3">
                  <c:v>155</c:v>
                </c:pt>
                <c:pt idx="4">
                  <c:v>102</c:v>
                </c:pt>
              </c:numCache>
            </c:numRef>
          </c:val>
        </c:ser>
        <c:ser>
          <c:idx val="1"/>
          <c:order val="1"/>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dLbls>
          <c:cat>
            <c:strRef>
              <c:f>'Balance Sheet'!$F$5:$F$9</c:f>
              <c:strCache>
                <c:ptCount val="5"/>
                <c:pt idx="0">
                  <c:v>Cash</c:v>
                </c:pt>
                <c:pt idx="1">
                  <c:v>Plant &amp; Equipment</c:v>
                </c:pt>
                <c:pt idx="2">
                  <c:v>Intangible Assets</c:v>
                </c:pt>
                <c:pt idx="3">
                  <c:v>Receivables</c:v>
                </c:pt>
                <c:pt idx="4">
                  <c:v>Other</c:v>
                </c:pt>
              </c:strCache>
            </c:strRef>
          </c:cat>
          <c:val>
            <c:numRef>
              <c:f>'Balance Sheet'!$H$5:$H$9</c:f>
              <c:numCache>
                <c:formatCode>#,##0</c:formatCode>
                <c:ptCount val="5"/>
                <c:pt idx="0">
                  <c:v>669</c:v>
                </c:pt>
                <c:pt idx="1">
                  <c:v>1398</c:v>
                </c:pt>
                <c:pt idx="2">
                  <c:v>340</c:v>
                </c:pt>
                <c:pt idx="3">
                  <c:v>110</c:v>
                </c:pt>
                <c:pt idx="4">
                  <c:v>57</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0269250191707031"/>
          <c:y val="8.5992681775259677E-2"/>
          <c:w val="0.56215385190865397"/>
          <c:h val="0.89329988983317599"/>
        </c:manualLayout>
      </c:layout>
      <c:pie3DChart>
        <c:varyColors val="1"/>
        <c:ser>
          <c:idx val="0"/>
          <c:order val="0"/>
          <c:explosion val="25"/>
          <c:dPt>
            <c:idx val="0"/>
            <c:bubble3D val="0"/>
          </c:dPt>
          <c:dPt>
            <c:idx val="1"/>
            <c:bubble3D val="0"/>
          </c:dPt>
          <c:dPt>
            <c:idx val="2"/>
            <c:bubble3D val="0"/>
          </c:dPt>
          <c:dPt>
            <c:idx val="3"/>
            <c:bubble3D val="0"/>
          </c:dPt>
          <c:dLbls>
            <c:numFmt formatCode="0%" sourceLinked="0"/>
            <c:txPr>
              <a:bodyPr/>
              <a:lstStyle/>
              <a:p>
                <a:pPr>
                  <a:defRPr sz="1000" b="0" i="0" u="none" strike="noStrike" baseline="0">
                    <a:solidFill>
                      <a:srgbClr val="000000"/>
                    </a:solidFill>
                    <a:latin typeface="Calibri"/>
                    <a:ea typeface="Calibri"/>
                    <a:cs typeface="Calibri"/>
                  </a:defRPr>
                </a:pPr>
                <a:endParaRPr lang="en-US"/>
              </a:p>
            </c:txPr>
            <c:showLegendKey val="0"/>
            <c:showVal val="0"/>
            <c:showCatName val="1"/>
            <c:showSerName val="0"/>
            <c:showPercent val="1"/>
            <c:showBubbleSize val="0"/>
            <c:showLeaderLines val="1"/>
          </c:dLbls>
          <c:cat>
            <c:strRef>
              <c:f>'Balance Sheet'!$J$5:$J$7</c:f>
              <c:strCache>
                <c:ptCount val="3"/>
                <c:pt idx="0">
                  <c:v>Lease Incentive</c:v>
                </c:pt>
                <c:pt idx="1">
                  <c:v>Payables</c:v>
                </c:pt>
                <c:pt idx="2">
                  <c:v>Employee benefits</c:v>
                </c:pt>
              </c:strCache>
            </c:strRef>
          </c:cat>
          <c:val>
            <c:numRef>
              <c:f>'Balance Sheet'!$K$5:$K$7</c:f>
              <c:numCache>
                <c:formatCode>#,##0</c:formatCode>
                <c:ptCount val="3"/>
                <c:pt idx="0">
                  <c:v>470</c:v>
                </c:pt>
                <c:pt idx="1">
                  <c:v>110</c:v>
                </c:pt>
                <c:pt idx="2">
                  <c:v>360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914A-8EFD-4898-B609-94459DD8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D10BDAF3</Template>
  <TotalTime>121</TotalTime>
  <Pages>55</Pages>
  <Words>18268</Words>
  <Characters>104131</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Anti-Discrimination Commission Queensland annual report 2013-2014</vt:lpstr>
    </vt:vector>
  </TitlesOfParts>
  <Company>Anti-Discrimination Commission Queensland</Company>
  <LinksUpToDate>false</LinksUpToDate>
  <CharactersWithSpaces>122155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Anti-Discrimination Commission Queensland annual report 2013-2014</dc:title>
  <dc:creator>Anti-Discrimination Commission Queensland</dc:creator>
  <cp:keywords>annual report, discrimination, complaints, community engagement,financial statements</cp:keywords>
  <dc:description/>
  <cp:lastModifiedBy>Helen Bannerman</cp:lastModifiedBy>
  <cp:revision>39</cp:revision>
  <cp:lastPrinted>2014-09-01T22:22:00Z</cp:lastPrinted>
  <dcterms:created xsi:type="dcterms:W3CDTF">2014-10-09T05:16:00Z</dcterms:created>
  <dcterms:modified xsi:type="dcterms:W3CDTF">2014-10-13T00:57:00Z</dcterms:modified>
  <cp:category>annual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