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A4C" w14:textId="6ED2260A" w:rsidR="005D7BC2" w:rsidRDefault="005D7BC2" w:rsidP="00F27C83">
      <w:pPr>
        <w:rPr>
          <w:rFonts w:ascii="Arial" w:hAnsi="Arial" w:cs="Arial"/>
          <w:b/>
          <w:i/>
          <w:color w:val="2F5496" w:themeColor="accent5" w:themeShade="BF"/>
        </w:rPr>
      </w:pPr>
    </w:p>
    <w:p w14:paraId="34E98348" w14:textId="5CD7D0DC" w:rsidR="00F27C83" w:rsidRPr="00853CBB" w:rsidRDefault="00F27C83" w:rsidP="00F27C83">
      <w:pPr>
        <w:rPr>
          <w:rFonts w:ascii="Arial" w:hAnsi="Arial" w:cs="Arial"/>
          <w:b/>
          <w:sz w:val="36"/>
          <w:szCs w:val="36"/>
        </w:rPr>
      </w:pPr>
      <w:r w:rsidRPr="00853CBB">
        <w:rPr>
          <w:rFonts w:ascii="Arial" w:hAnsi="Arial" w:cs="Arial"/>
          <w:b/>
          <w:sz w:val="36"/>
          <w:szCs w:val="36"/>
        </w:rPr>
        <w:t>Background</w:t>
      </w:r>
      <w:bookmarkStart w:id="0" w:name="_GoBack"/>
      <w:bookmarkEnd w:id="0"/>
    </w:p>
    <w:p w14:paraId="39077A75" w14:textId="77777777" w:rsidR="00F711A0" w:rsidRDefault="00F27C83" w:rsidP="00FD0BD2">
      <w:pPr>
        <w:pStyle w:val="ListParagraph"/>
        <w:numPr>
          <w:ilvl w:val="0"/>
          <w:numId w:val="2"/>
        </w:numPr>
        <w:suppressAutoHyphens/>
        <w:spacing w:after="100" w:line="240" w:lineRule="auto"/>
        <w:rPr>
          <w:rFonts w:ascii="Arial" w:hAnsi="Arial" w:cs="Arial"/>
        </w:rPr>
      </w:pPr>
      <w:r w:rsidRPr="005D7BC2">
        <w:rPr>
          <w:rFonts w:ascii="Arial" w:hAnsi="Arial" w:cs="Arial"/>
        </w:rPr>
        <w:t xml:space="preserve">‘Our story, our future’ is the Queensland Government’s multicultural policy promoting an inclusive, harmonious and united community for Queensland. </w:t>
      </w:r>
    </w:p>
    <w:p w14:paraId="7D5E3153" w14:textId="2260183B" w:rsidR="00F27C83" w:rsidRPr="005D7BC2" w:rsidRDefault="00F27C83" w:rsidP="00FD0BD2">
      <w:pPr>
        <w:pStyle w:val="ListParagraph"/>
        <w:numPr>
          <w:ilvl w:val="0"/>
          <w:numId w:val="2"/>
        </w:numPr>
        <w:suppressAutoHyphens/>
        <w:spacing w:after="100" w:line="240" w:lineRule="auto"/>
        <w:rPr>
          <w:rFonts w:ascii="Arial" w:hAnsi="Arial" w:cs="Arial"/>
        </w:rPr>
      </w:pPr>
      <w:r w:rsidRPr="005D7BC2">
        <w:rPr>
          <w:rFonts w:ascii="Arial" w:hAnsi="Arial" w:cs="Arial"/>
        </w:rPr>
        <w:t xml:space="preserve">The policy focuses Queensland Government action on three policy priorities for culturally diverse communities and Queensland as a whole – </w:t>
      </w:r>
      <w:r w:rsidR="004D5AB7">
        <w:rPr>
          <w:rFonts w:ascii="Arial" w:hAnsi="Arial" w:cs="Arial"/>
        </w:rPr>
        <w:t xml:space="preserve">(1) </w:t>
      </w:r>
      <w:r w:rsidRPr="005D7BC2">
        <w:rPr>
          <w:rFonts w:ascii="Arial" w:hAnsi="Arial" w:cs="Arial"/>
        </w:rPr>
        <w:t>achieving c</w:t>
      </w:r>
      <w:r w:rsidR="004D5AB7">
        <w:rPr>
          <w:rFonts w:ascii="Arial" w:hAnsi="Arial" w:cs="Arial"/>
        </w:rPr>
        <w:t>ulturally responsive government, (2)</w:t>
      </w:r>
      <w:r w:rsidRPr="005D7BC2">
        <w:rPr>
          <w:rFonts w:ascii="Arial" w:hAnsi="Arial" w:cs="Arial"/>
        </w:rPr>
        <w:t xml:space="preserve"> supporting inclusive, ha</w:t>
      </w:r>
      <w:r w:rsidR="004D5AB7">
        <w:rPr>
          <w:rFonts w:ascii="Arial" w:hAnsi="Arial" w:cs="Arial"/>
        </w:rPr>
        <w:t>rmonious and united communities</w:t>
      </w:r>
      <w:r w:rsidRPr="005D7BC2">
        <w:rPr>
          <w:rFonts w:ascii="Arial" w:hAnsi="Arial" w:cs="Arial"/>
        </w:rPr>
        <w:t xml:space="preserve"> and </w:t>
      </w:r>
      <w:r w:rsidR="004D5AB7">
        <w:rPr>
          <w:rFonts w:ascii="Arial" w:hAnsi="Arial" w:cs="Arial"/>
        </w:rPr>
        <w:t xml:space="preserve">(3) </w:t>
      </w:r>
      <w:r w:rsidRPr="005D7BC2">
        <w:rPr>
          <w:rFonts w:ascii="Arial" w:hAnsi="Arial" w:cs="Arial"/>
        </w:rPr>
        <w:t xml:space="preserve">improving economic opportunities. </w:t>
      </w:r>
    </w:p>
    <w:p w14:paraId="79F191A5" w14:textId="77777777" w:rsidR="00534C28" w:rsidRPr="005D7BC2" w:rsidRDefault="00F27C83" w:rsidP="00FD0BD2">
      <w:pPr>
        <w:pStyle w:val="ListParagraph"/>
        <w:numPr>
          <w:ilvl w:val="0"/>
          <w:numId w:val="2"/>
        </w:numPr>
        <w:suppressAutoHyphens/>
        <w:spacing w:after="100" w:line="240" w:lineRule="auto"/>
        <w:rPr>
          <w:rFonts w:ascii="Arial" w:hAnsi="Arial" w:cs="Arial"/>
        </w:rPr>
      </w:pPr>
      <w:r w:rsidRPr="005D7BC2">
        <w:rPr>
          <w:rFonts w:ascii="Arial" w:hAnsi="Arial" w:cs="Arial"/>
        </w:rPr>
        <w:t xml:space="preserve">The policy is being implemented through a three year Queensland Multicultural Action Plan 2016-17 – 2018-19. </w:t>
      </w:r>
    </w:p>
    <w:p w14:paraId="5700E96D" w14:textId="3F7203A3" w:rsidR="00534C28" w:rsidRPr="005D7BC2" w:rsidRDefault="00F27C83" w:rsidP="00FD0BD2">
      <w:pPr>
        <w:pStyle w:val="ListParagraph"/>
        <w:numPr>
          <w:ilvl w:val="0"/>
          <w:numId w:val="2"/>
        </w:numPr>
        <w:suppressAutoHyphens/>
        <w:spacing w:after="100" w:line="240" w:lineRule="auto"/>
        <w:rPr>
          <w:rFonts w:ascii="Arial" w:hAnsi="Arial" w:cs="Arial"/>
        </w:rPr>
      </w:pPr>
      <w:r w:rsidRPr="005D7BC2">
        <w:rPr>
          <w:rFonts w:ascii="Arial" w:hAnsi="Arial" w:cs="Arial"/>
        </w:rPr>
        <w:t xml:space="preserve">The policy and action plan are a requirement of the </w:t>
      </w:r>
      <w:r w:rsidRPr="005D7BC2">
        <w:rPr>
          <w:rFonts w:ascii="Arial" w:hAnsi="Arial" w:cs="Arial"/>
          <w:i/>
        </w:rPr>
        <w:t>Multicultural Recognition Act 2016</w:t>
      </w:r>
      <w:r w:rsidRPr="005D7BC2">
        <w:rPr>
          <w:rFonts w:ascii="Arial" w:hAnsi="Arial" w:cs="Arial"/>
        </w:rPr>
        <w:t xml:space="preserve"> (the Act) and represent one of three key provisions</w:t>
      </w:r>
      <w:r w:rsidR="00F711A0">
        <w:rPr>
          <w:rFonts w:ascii="Arial" w:hAnsi="Arial" w:cs="Arial"/>
        </w:rPr>
        <w:t xml:space="preserve"> of the Act,</w:t>
      </w:r>
      <w:r w:rsidRPr="005D7BC2">
        <w:rPr>
          <w:rFonts w:ascii="Arial" w:hAnsi="Arial" w:cs="Arial"/>
        </w:rPr>
        <w:t xml:space="preserve"> together with establishing the Multicultural Queensland Charter and Multicultural Queensland Advisory Council. </w:t>
      </w:r>
    </w:p>
    <w:p w14:paraId="3B878283" w14:textId="609258F8" w:rsidR="00067F76" w:rsidRPr="00067F76" w:rsidRDefault="00F27C83" w:rsidP="00067F76">
      <w:pPr>
        <w:pStyle w:val="ListParagraph"/>
        <w:numPr>
          <w:ilvl w:val="0"/>
          <w:numId w:val="2"/>
        </w:numPr>
        <w:suppressAutoHyphens/>
        <w:spacing w:after="100" w:line="240" w:lineRule="auto"/>
        <w:rPr>
          <w:rFonts w:ascii="Arial" w:hAnsi="Arial" w:cs="Arial"/>
        </w:rPr>
      </w:pPr>
      <w:r w:rsidRPr="005D7BC2">
        <w:rPr>
          <w:rFonts w:ascii="Arial" w:hAnsi="Arial" w:cs="Arial"/>
        </w:rPr>
        <w:t>Section 24 of the Act requires entities with actions in the action plan to report publicly on an annual basis. The attached report fulfils this requirement for</w:t>
      </w:r>
      <w:r w:rsidR="00F711A0">
        <w:rPr>
          <w:rFonts w:ascii="Arial" w:hAnsi="Arial" w:cs="Arial"/>
        </w:rPr>
        <w:t xml:space="preserve"> 2017-18 for</w:t>
      </w:r>
      <w:r w:rsidRPr="005D7BC2">
        <w:rPr>
          <w:rFonts w:ascii="Arial" w:hAnsi="Arial" w:cs="Arial"/>
        </w:rPr>
        <w:t xml:space="preserve"> </w:t>
      </w:r>
      <w:r w:rsidR="00BA6BEC">
        <w:rPr>
          <w:rFonts w:ascii="Arial" w:hAnsi="Arial" w:cs="Arial"/>
          <w:b/>
        </w:rPr>
        <w:t>Anti-Discrimination Commission Queensland (ADCQ)</w:t>
      </w:r>
      <w:r w:rsidR="00567CD3" w:rsidRPr="005D7BC2">
        <w:rPr>
          <w:rFonts w:ascii="Arial" w:hAnsi="Arial" w:cs="Arial"/>
          <w:b/>
        </w:rPr>
        <w:t>.</w:t>
      </w:r>
    </w:p>
    <w:p w14:paraId="7955544E" w14:textId="284DF9AC" w:rsidR="008F63B5" w:rsidRPr="00476E4A" w:rsidRDefault="008F63B5" w:rsidP="008F63B5">
      <w:pPr>
        <w:autoSpaceDE w:val="0"/>
        <w:autoSpaceDN w:val="0"/>
        <w:adjustRightInd w:val="0"/>
        <w:spacing w:after="0" w:line="240" w:lineRule="auto"/>
        <w:rPr>
          <w:rFonts w:ascii="Arial" w:hAnsi="Arial" w:cs="Arial"/>
          <w:b/>
          <w:color w:val="00B0F0"/>
          <w:sz w:val="36"/>
          <w:szCs w:val="36"/>
        </w:rPr>
      </w:pPr>
      <w:r w:rsidRPr="00476E4A">
        <w:rPr>
          <w:rFonts w:ascii="Arial" w:hAnsi="Arial" w:cs="Arial"/>
          <w:b/>
          <w:color w:val="00B0F0"/>
          <w:sz w:val="36"/>
          <w:szCs w:val="36"/>
        </w:rPr>
        <w:t xml:space="preserve">Priority area </w:t>
      </w:r>
      <w:r w:rsidR="002D1993" w:rsidRPr="00476E4A">
        <w:rPr>
          <w:rFonts w:ascii="Arial" w:hAnsi="Arial" w:cs="Arial"/>
          <w:b/>
          <w:color w:val="00B0F0"/>
          <w:sz w:val="36"/>
          <w:szCs w:val="36"/>
        </w:rPr>
        <w:t>2: Inclusive, harmonious and united communities</w:t>
      </w:r>
    </w:p>
    <w:p w14:paraId="364BF1BE" w14:textId="7C327AAF" w:rsidR="00F7258F" w:rsidRPr="00476E4A" w:rsidRDefault="00FD0BD2" w:rsidP="00F7258F">
      <w:pPr>
        <w:autoSpaceDE w:val="0"/>
        <w:autoSpaceDN w:val="0"/>
        <w:adjustRightInd w:val="0"/>
        <w:spacing w:after="0" w:line="240" w:lineRule="auto"/>
        <w:rPr>
          <w:rFonts w:ascii="Arial" w:hAnsi="Arial" w:cs="Arial"/>
          <w:b/>
          <w:color w:val="00B0F0"/>
        </w:rPr>
      </w:pPr>
      <w:r w:rsidRPr="00476E4A">
        <w:rPr>
          <w:rFonts w:ascii="Arial" w:hAnsi="Arial" w:cs="Arial"/>
          <w:b/>
          <w:color w:val="00B0F0"/>
        </w:rPr>
        <w:t xml:space="preserve">Outcome: </w:t>
      </w:r>
      <w:r w:rsidR="00F7258F" w:rsidRPr="00476E4A">
        <w:rPr>
          <w:rFonts w:ascii="Arial" w:hAnsi="Arial" w:cs="Arial"/>
          <w:b/>
          <w:color w:val="00B0F0"/>
        </w:rPr>
        <w:t xml:space="preserve">Connected and resilient communities </w:t>
      </w:r>
    </w:p>
    <w:p w14:paraId="15462579" w14:textId="77777777" w:rsidR="00F7258F" w:rsidRPr="0054491B" w:rsidRDefault="00F7258F" w:rsidP="00F7258F">
      <w:pPr>
        <w:autoSpaceDE w:val="0"/>
        <w:autoSpaceDN w:val="0"/>
        <w:adjustRightInd w:val="0"/>
        <w:spacing w:after="0" w:line="240" w:lineRule="auto"/>
        <w:rPr>
          <w:rFonts w:ascii="Arial" w:hAnsi="Arial" w:cs="Arial"/>
        </w:rPr>
      </w:pPr>
    </w:p>
    <w:tbl>
      <w:tblPr>
        <w:tblStyle w:val="TableGrid"/>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43"/>
        <w:gridCol w:w="3708"/>
        <w:gridCol w:w="2679"/>
        <w:gridCol w:w="2679"/>
        <w:gridCol w:w="2679"/>
      </w:tblGrid>
      <w:tr w:rsidR="005D7BC2" w:rsidRPr="0054491B" w14:paraId="0AE02803" w14:textId="51003E73" w:rsidTr="003D315C">
        <w:trPr>
          <w:tblHeader/>
        </w:trPr>
        <w:tc>
          <w:tcPr>
            <w:tcW w:w="2215" w:type="pct"/>
          </w:tcPr>
          <w:p w14:paraId="3F184216" w14:textId="77777777" w:rsidR="005D7BC2" w:rsidRPr="0054491B" w:rsidRDefault="005D7BC2" w:rsidP="005D7BC2">
            <w:pPr>
              <w:autoSpaceDE w:val="0"/>
              <w:autoSpaceDN w:val="0"/>
              <w:adjustRightInd w:val="0"/>
              <w:spacing w:after="120"/>
              <w:rPr>
                <w:rFonts w:ascii="Arial" w:hAnsi="Arial" w:cs="Arial"/>
                <w:b/>
              </w:rPr>
            </w:pPr>
            <w:r w:rsidRPr="0054491B">
              <w:rPr>
                <w:rFonts w:ascii="Arial" w:hAnsi="Arial" w:cs="Arial"/>
                <w:b/>
              </w:rPr>
              <w:t>Action</w:t>
            </w:r>
          </w:p>
        </w:tc>
        <w:tc>
          <w:tcPr>
            <w:tcW w:w="879" w:type="pct"/>
          </w:tcPr>
          <w:p w14:paraId="20AC2980" w14:textId="77777777" w:rsidR="005D7BC2" w:rsidRPr="0054491B" w:rsidRDefault="005D7BC2" w:rsidP="005D7BC2">
            <w:pPr>
              <w:autoSpaceDE w:val="0"/>
              <w:autoSpaceDN w:val="0"/>
              <w:adjustRightInd w:val="0"/>
              <w:spacing w:after="120"/>
              <w:rPr>
                <w:rFonts w:ascii="Arial" w:hAnsi="Arial" w:cs="Arial"/>
                <w:b/>
              </w:rPr>
            </w:pPr>
            <w:r w:rsidRPr="0054491B">
              <w:rPr>
                <w:rFonts w:ascii="Arial" w:hAnsi="Arial" w:cs="Arial"/>
                <w:b/>
              </w:rPr>
              <w:t>Lead</w:t>
            </w:r>
          </w:p>
        </w:tc>
        <w:tc>
          <w:tcPr>
            <w:tcW w:w="635" w:type="pct"/>
          </w:tcPr>
          <w:p w14:paraId="07C0CF5F" w14:textId="77777777" w:rsidR="005D7BC2" w:rsidRPr="0054491B" w:rsidRDefault="005D7BC2" w:rsidP="005D7BC2">
            <w:pPr>
              <w:autoSpaceDE w:val="0"/>
              <w:autoSpaceDN w:val="0"/>
              <w:adjustRightInd w:val="0"/>
              <w:spacing w:after="120"/>
              <w:rPr>
                <w:rFonts w:ascii="Arial" w:hAnsi="Arial" w:cs="Arial"/>
                <w:b/>
              </w:rPr>
            </w:pPr>
            <w:r w:rsidRPr="0054491B">
              <w:rPr>
                <w:rFonts w:ascii="Arial" w:hAnsi="Arial" w:cs="Arial"/>
                <w:b/>
              </w:rPr>
              <w:t>Timeframe</w:t>
            </w:r>
          </w:p>
        </w:tc>
        <w:tc>
          <w:tcPr>
            <w:tcW w:w="635" w:type="pct"/>
          </w:tcPr>
          <w:p w14:paraId="14F007F8" w14:textId="77777777" w:rsidR="005D7BC2" w:rsidRDefault="005D7BC2" w:rsidP="005D7BC2">
            <w:pPr>
              <w:autoSpaceDE w:val="0"/>
              <w:autoSpaceDN w:val="0"/>
              <w:adjustRightInd w:val="0"/>
              <w:spacing w:after="120"/>
              <w:rPr>
                <w:rFonts w:ascii="Arial" w:hAnsi="Arial" w:cs="Arial"/>
                <w:b/>
              </w:rPr>
            </w:pPr>
            <w:r>
              <w:rPr>
                <w:rFonts w:ascii="Arial" w:hAnsi="Arial" w:cs="Arial"/>
                <w:b/>
              </w:rPr>
              <w:t>Progress status</w:t>
            </w:r>
          </w:p>
          <w:p w14:paraId="576E6EDD" w14:textId="77777777" w:rsidR="005D7BC2" w:rsidRPr="00CA079A" w:rsidRDefault="005D7BC2" w:rsidP="00CA079A">
            <w:pPr>
              <w:autoSpaceDE w:val="0"/>
              <w:autoSpaceDN w:val="0"/>
              <w:adjustRightInd w:val="0"/>
              <w:spacing w:after="120"/>
              <w:rPr>
                <w:rFonts w:ascii="Arial" w:hAnsi="Arial" w:cs="Arial"/>
              </w:rPr>
            </w:pPr>
            <w:r w:rsidRPr="00CA079A">
              <w:rPr>
                <w:rFonts w:ascii="Arial" w:hAnsi="Arial" w:cs="Arial"/>
              </w:rPr>
              <w:t xml:space="preserve">Legend: </w:t>
            </w:r>
          </w:p>
          <w:p w14:paraId="429FEFD9" w14:textId="77777777" w:rsidR="005D7BC2" w:rsidRPr="00534C28" w:rsidRDefault="005D7BC2" w:rsidP="005D7BC2">
            <w:pPr>
              <w:pStyle w:val="ListParagraph"/>
              <w:numPr>
                <w:ilvl w:val="0"/>
                <w:numId w:val="3"/>
              </w:numPr>
              <w:autoSpaceDE w:val="0"/>
              <w:autoSpaceDN w:val="0"/>
              <w:adjustRightInd w:val="0"/>
              <w:spacing w:after="120"/>
              <w:rPr>
                <w:rFonts w:ascii="Arial" w:hAnsi="Arial" w:cs="Arial"/>
              </w:rPr>
            </w:pPr>
            <w:r w:rsidRPr="00534C28">
              <w:rPr>
                <w:rFonts w:ascii="Arial" w:hAnsi="Arial" w:cs="Arial"/>
              </w:rPr>
              <w:t>On track</w:t>
            </w:r>
          </w:p>
          <w:p w14:paraId="0CC13053" w14:textId="77777777" w:rsidR="005D7BC2" w:rsidRPr="00534C28" w:rsidRDefault="005D7BC2" w:rsidP="005D7BC2">
            <w:pPr>
              <w:pStyle w:val="ListParagraph"/>
              <w:numPr>
                <w:ilvl w:val="0"/>
                <w:numId w:val="3"/>
              </w:numPr>
              <w:autoSpaceDE w:val="0"/>
              <w:autoSpaceDN w:val="0"/>
              <w:adjustRightInd w:val="0"/>
              <w:spacing w:after="120"/>
              <w:rPr>
                <w:rFonts w:ascii="Arial" w:hAnsi="Arial" w:cs="Arial"/>
              </w:rPr>
            </w:pPr>
            <w:r w:rsidRPr="00534C28">
              <w:rPr>
                <w:rFonts w:ascii="Arial" w:hAnsi="Arial" w:cs="Arial"/>
              </w:rPr>
              <w:t>Completed</w:t>
            </w:r>
          </w:p>
          <w:p w14:paraId="37279309" w14:textId="77777777" w:rsidR="00CA079A" w:rsidRPr="00CA079A" w:rsidRDefault="005D7BC2" w:rsidP="005D7BC2">
            <w:pPr>
              <w:pStyle w:val="ListParagraph"/>
              <w:numPr>
                <w:ilvl w:val="0"/>
                <w:numId w:val="3"/>
              </w:numPr>
              <w:autoSpaceDE w:val="0"/>
              <w:autoSpaceDN w:val="0"/>
              <w:adjustRightInd w:val="0"/>
              <w:spacing w:after="120"/>
              <w:rPr>
                <w:rFonts w:ascii="Arial" w:hAnsi="Arial" w:cs="Arial"/>
                <w:b/>
              </w:rPr>
            </w:pPr>
            <w:r w:rsidRPr="00534C28">
              <w:rPr>
                <w:rFonts w:ascii="Arial" w:hAnsi="Arial" w:cs="Arial"/>
              </w:rPr>
              <w:t>Yet to commence</w:t>
            </w:r>
          </w:p>
          <w:p w14:paraId="7234A888" w14:textId="04408462" w:rsidR="005D7BC2" w:rsidRPr="00CA079A" w:rsidRDefault="005D7BC2" w:rsidP="005D7BC2">
            <w:pPr>
              <w:pStyle w:val="ListParagraph"/>
              <w:numPr>
                <w:ilvl w:val="0"/>
                <w:numId w:val="3"/>
              </w:numPr>
              <w:autoSpaceDE w:val="0"/>
              <w:autoSpaceDN w:val="0"/>
              <w:adjustRightInd w:val="0"/>
              <w:spacing w:after="120"/>
              <w:rPr>
                <w:rFonts w:ascii="Arial" w:hAnsi="Arial" w:cs="Arial"/>
                <w:b/>
              </w:rPr>
            </w:pPr>
            <w:r w:rsidRPr="00CA079A">
              <w:rPr>
                <w:rFonts w:ascii="Arial" w:hAnsi="Arial" w:cs="Arial"/>
              </w:rPr>
              <w:t>Ceased</w:t>
            </w:r>
          </w:p>
        </w:tc>
        <w:tc>
          <w:tcPr>
            <w:tcW w:w="635" w:type="pct"/>
          </w:tcPr>
          <w:p w14:paraId="4A27F04F" w14:textId="77777777" w:rsidR="005D7BC2" w:rsidRPr="00534C28" w:rsidRDefault="005D7BC2" w:rsidP="005D7BC2">
            <w:pPr>
              <w:autoSpaceDE w:val="0"/>
              <w:autoSpaceDN w:val="0"/>
              <w:adjustRightInd w:val="0"/>
              <w:spacing w:after="120"/>
              <w:rPr>
                <w:rFonts w:ascii="Arial" w:hAnsi="Arial" w:cs="Arial"/>
                <w:b/>
              </w:rPr>
            </w:pPr>
            <w:r w:rsidRPr="00534C28">
              <w:rPr>
                <w:rFonts w:ascii="Arial" w:hAnsi="Arial" w:cs="Arial"/>
                <w:b/>
              </w:rPr>
              <w:t>Achievements and outcomes</w:t>
            </w:r>
          </w:p>
          <w:p w14:paraId="793AEB79" w14:textId="77777777" w:rsidR="005D7BC2" w:rsidRPr="00534C28" w:rsidRDefault="005D7BC2" w:rsidP="005D7BC2">
            <w:pPr>
              <w:rPr>
                <w:rFonts w:ascii="Arial" w:hAnsi="Arial" w:cs="Arial"/>
              </w:rPr>
            </w:pPr>
            <w:r w:rsidRPr="00534C28">
              <w:rPr>
                <w:rFonts w:ascii="Arial" w:hAnsi="Arial" w:cs="Arial"/>
              </w:rPr>
              <w:t xml:space="preserve">Please provide commentary </w:t>
            </w:r>
            <w:proofErr w:type="spellStart"/>
            <w:r w:rsidRPr="00534C28">
              <w:rPr>
                <w:rFonts w:ascii="Arial" w:hAnsi="Arial" w:cs="Arial"/>
              </w:rPr>
              <w:t>eg</w:t>
            </w:r>
            <w:proofErr w:type="spellEnd"/>
            <w:r w:rsidRPr="00534C28">
              <w:rPr>
                <w:rFonts w:ascii="Arial" w:hAnsi="Arial" w:cs="Arial"/>
              </w:rPr>
              <w:t xml:space="preserve">. 3-4 dot points of advice on </w:t>
            </w:r>
            <w:r>
              <w:rPr>
                <w:rFonts w:ascii="Arial" w:hAnsi="Arial" w:cs="Arial"/>
              </w:rPr>
              <w:t>achievements and outcomes.</w:t>
            </w:r>
            <w:r w:rsidRPr="00534C28">
              <w:rPr>
                <w:rFonts w:ascii="Arial" w:hAnsi="Arial" w:cs="Arial"/>
              </w:rPr>
              <w:t xml:space="preserve"> Include qualitative and quantitative data if available/relevant. </w:t>
            </w:r>
          </w:p>
          <w:p w14:paraId="1168ABF4" w14:textId="64688CEC" w:rsidR="005D7BC2" w:rsidRPr="0054491B" w:rsidRDefault="005D7BC2" w:rsidP="005D7BC2">
            <w:pPr>
              <w:autoSpaceDE w:val="0"/>
              <w:autoSpaceDN w:val="0"/>
              <w:adjustRightInd w:val="0"/>
              <w:spacing w:after="120"/>
              <w:rPr>
                <w:rFonts w:ascii="Arial" w:hAnsi="Arial" w:cs="Arial"/>
                <w:b/>
              </w:rPr>
            </w:pPr>
            <w:r w:rsidRPr="00534C28">
              <w:rPr>
                <w:rFonts w:ascii="Arial" w:hAnsi="Arial" w:cs="Arial"/>
                <w:b/>
                <w:i/>
              </w:rPr>
              <w:t>If action has ceased please include reason.</w:t>
            </w:r>
          </w:p>
        </w:tc>
      </w:tr>
      <w:tr w:rsidR="005D7BC2" w:rsidRPr="0054491B" w14:paraId="019D07FA" w14:textId="779971E0" w:rsidTr="003D315C">
        <w:tc>
          <w:tcPr>
            <w:tcW w:w="2215" w:type="pct"/>
          </w:tcPr>
          <w:p w14:paraId="546BACEB" w14:textId="77777777" w:rsidR="005D7BC2" w:rsidRPr="0054491B" w:rsidRDefault="005D7BC2" w:rsidP="005D7BC2">
            <w:pPr>
              <w:autoSpaceDE w:val="0"/>
              <w:autoSpaceDN w:val="0"/>
              <w:adjustRightInd w:val="0"/>
              <w:spacing w:after="120"/>
              <w:rPr>
                <w:rFonts w:ascii="Arial" w:hAnsi="Arial" w:cs="Arial"/>
              </w:rPr>
            </w:pPr>
            <w:r w:rsidRPr="0054491B">
              <w:rPr>
                <w:rFonts w:ascii="Arial" w:hAnsi="Arial" w:cs="Arial"/>
              </w:rPr>
              <w:t>Deliver inclusive communities projects, including community</w:t>
            </w:r>
            <w:r>
              <w:rPr>
                <w:rFonts w:ascii="Arial" w:hAnsi="Arial" w:cs="Arial"/>
              </w:rPr>
              <w:t xml:space="preserve"> </w:t>
            </w:r>
            <w:r w:rsidRPr="0054491B">
              <w:rPr>
                <w:rFonts w:ascii="Arial" w:hAnsi="Arial" w:cs="Arial"/>
              </w:rPr>
              <w:t>conversations, to build social cohesion on the Sunshine Coast and</w:t>
            </w:r>
            <w:r>
              <w:rPr>
                <w:rFonts w:ascii="Arial" w:hAnsi="Arial" w:cs="Arial"/>
              </w:rPr>
              <w:t xml:space="preserve"> </w:t>
            </w:r>
            <w:r w:rsidRPr="0054491B">
              <w:rPr>
                <w:rFonts w:ascii="Arial" w:hAnsi="Arial" w:cs="Arial"/>
              </w:rPr>
              <w:t>Gold Coast.</w:t>
            </w:r>
          </w:p>
        </w:tc>
        <w:tc>
          <w:tcPr>
            <w:tcW w:w="879" w:type="pct"/>
          </w:tcPr>
          <w:p w14:paraId="41D58531" w14:textId="77777777" w:rsidR="005D7BC2" w:rsidRPr="0054491B" w:rsidRDefault="005D7BC2" w:rsidP="005D7BC2">
            <w:pPr>
              <w:autoSpaceDE w:val="0"/>
              <w:autoSpaceDN w:val="0"/>
              <w:adjustRightInd w:val="0"/>
              <w:spacing w:after="120"/>
              <w:rPr>
                <w:rFonts w:ascii="Arial" w:hAnsi="Arial" w:cs="Arial"/>
              </w:rPr>
            </w:pPr>
            <w:r w:rsidRPr="0054491B">
              <w:rPr>
                <w:rFonts w:ascii="Arial" w:hAnsi="Arial" w:cs="Arial"/>
              </w:rPr>
              <w:t>ADCQ</w:t>
            </w:r>
          </w:p>
        </w:tc>
        <w:tc>
          <w:tcPr>
            <w:tcW w:w="635" w:type="pct"/>
          </w:tcPr>
          <w:p w14:paraId="37639021" w14:textId="77777777" w:rsidR="005D7BC2" w:rsidRPr="0054491B" w:rsidRDefault="005D7BC2" w:rsidP="005D7BC2">
            <w:pPr>
              <w:autoSpaceDE w:val="0"/>
              <w:autoSpaceDN w:val="0"/>
              <w:adjustRightInd w:val="0"/>
              <w:spacing w:after="120"/>
              <w:rPr>
                <w:rFonts w:ascii="Arial" w:hAnsi="Arial" w:cs="Arial"/>
              </w:rPr>
            </w:pPr>
            <w:r w:rsidRPr="0054491B">
              <w:rPr>
                <w:rFonts w:ascii="Arial" w:hAnsi="Arial" w:cs="Arial"/>
              </w:rPr>
              <w:t>2016–18</w:t>
            </w:r>
          </w:p>
        </w:tc>
        <w:tc>
          <w:tcPr>
            <w:tcW w:w="635" w:type="pct"/>
          </w:tcPr>
          <w:p w14:paraId="4A7B207D" w14:textId="3BAE719F" w:rsidR="005D7BC2" w:rsidRPr="0054491B" w:rsidRDefault="007C4DCF" w:rsidP="005D7BC2">
            <w:pPr>
              <w:autoSpaceDE w:val="0"/>
              <w:autoSpaceDN w:val="0"/>
              <w:adjustRightInd w:val="0"/>
              <w:spacing w:after="120"/>
              <w:rPr>
                <w:rFonts w:ascii="Arial" w:hAnsi="Arial" w:cs="Arial"/>
              </w:rPr>
            </w:pPr>
            <w:r>
              <w:rPr>
                <w:rFonts w:ascii="Arial" w:hAnsi="Arial" w:cs="Arial"/>
              </w:rPr>
              <w:t>On track</w:t>
            </w:r>
          </w:p>
        </w:tc>
        <w:tc>
          <w:tcPr>
            <w:tcW w:w="635" w:type="pct"/>
          </w:tcPr>
          <w:p w14:paraId="20A653C8" w14:textId="77777777" w:rsidR="005217CC" w:rsidRPr="005217CC" w:rsidRDefault="005217CC" w:rsidP="007C4DCF">
            <w:pPr>
              <w:spacing w:before="120" w:after="120"/>
              <w:rPr>
                <w:rFonts w:ascii="Arial" w:hAnsi="Arial" w:cs="Arial"/>
                <w:lang w:eastAsia="en-AU"/>
              </w:rPr>
            </w:pPr>
            <w:r w:rsidRPr="005217CC">
              <w:rPr>
                <w:rFonts w:ascii="Arial" w:hAnsi="Arial" w:cs="Arial"/>
                <w:lang w:eastAsia="en-AU"/>
              </w:rPr>
              <w:t>Partnered with Sunshine Coast Council and University of the Sunshine Coast to deliver a 3-day strategic conversation on the Sunshine Coast in May 2018. The event brought together approximately 80 participants from government and community to address the question, “What will it take to strengthen connection, inclusion and empowerment in our community, leaving no one behind?”</w:t>
            </w:r>
          </w:p>
          <w:p w14:paraId="6998B869" w14:textId="5E669671" w:rsidR="007C4DCF" w:rsidRPr="00E3298D" w:rsidRDefault="007C4DCF" w:rsidP="007C4DCF">
            <w:pPr>
              <w:spacing w:before="120" w:after="120"/>
              <w:rPr>
                <w:rFonts w:cstheme="minorHAnsi"/>
                <w:i/>
                <w:lang w:eastAsia="en-AU"/>
              </w:rPr>
            </w:pPr>
            <w:r w:rsidRPr="005217CC">
              <w:rPr>
                <w:rFonts w:ascii="Arial" w:hAnsi="Arial" w:cs="Arial"/>
                <w:lang w:eastAsia="en-AU"/>
              </w:rPr>
              <w:t>Continued our work with multi</w:t>
            </w:r>
            <w:r w:rsidRPr="005217CC">
              <w:rPr>
                <w:rFonts w:ascii="Arial" w:hAnsi="Arial" w:cs="Arial"/>
                <w:lang w:eastAsia="en-AU"/>
              </w:rPr>
              <w:t>-</w:t>
            </w:r>
            <w:r w:rsidRPr="005217CC">
              <w:rPr>
                <w:rFonts w:ascii="Arial" w:hAnsi="Arial" w:cs="Arial"/>
                <w:lang w:eastAsia="en-AU"/>
              </w:rPr>
              <w:t xml:space="preserve">faith community groups on the Gold Coast and Sunshine Coast, including </w:t>
            </w:r>
            <w:r w:rsidRPr="005217CC">
              <w:rPr>
                <w:rFonts w:ascii="Arial" w:hAnsi="Arial" w:cs="Arial"/>
                <w:lang w:eastAsia="en-AU"/>
              </w:rPr>
              <w:t>partnering with</w:t>
            </w:r>
            <w:r>
              <w:rPr>
                <w:rFonts w:cstheme="minorHAnsi"/>
                <w:lang w:eastAsia="en-AU"/>
              </w:rPr>
              <w:t xml:space="preserve"> </w:t>
            </w:r>
            <w:r w:rsidRPr="005217CC">
              <w:rPr>
                <w:rFonts w:ascii="Arial" w:hAnsi="Arial" w:cs="Arial"/>
                <w:lang w:eastAsia="en-AU"/>
              </w:rPr>
              <w:t xml:space="preserve">Nambour Community Centre to </w:t>
            </w:r>
            <w:r w:rsidRPr="005217CC">
              <w:rPr>
                <w:rFonts w:ascii="Arial" w:hAnsi="Arial" w:cs="Arial"/>
                <w:lang w:eastAsia="en-AU"/>
              </w:rPr>
              <w:t>deliver four interfaith dialogue events on the Sunshine Coast in June 2018.</w:t>
            </w:r>
            <w:r w:rsidRPr="00E3298D">
              <w:rPr>
                <w:rFonts w:cstheme="minorHAnsi"/>
                <w:lang w:eastAsia="en-AU"/>
              </w:rPr>
              <w:t xml:space="preserve"> </w:t>
            </w:r>
          </w:p>
          <w:p w14:paraId="54B28E18" w14:textId="77777777" w:rsidR="005D7BC2" w:rsidRPr="0054491B" w:rsidRDefault="005D7BC2" w:rsidP="005D7BC2">
            <w:pPr>
              <w:autoSpaceDE w:val="0"/>
              <w:autoSpaceDN w:val="0"/>
              <w:adjustRightInd w:val="0"/>
              <w:spacing w:after="120"/>
              <w:rPr>
                <w:rFonts w:ascii="Arial" w:hAnsi="Arial" w:cs="Arial"/>
              </w:rPr>
            </w:pPr>
          </w:p>
        </w:tc>
      </w:tr>
    </w:tbl>
    <w:p w14:paraId="29839401" w14:textId="77777777" w:rsidR="002D1993" w:rsidRPr="00476E4A" w:rsidRDefault="002D1993" w:rsidP="00F7258F">
      <w:pPr>
        <w:autoSpaceDE w:val="0"/>
        <w:autoSpaceDN w:val="0"/>
        <w:adjustRightInd w:val="0"/>
        <w:spacing w:after="0" w:line="240" w:lineRule="auto"/>
        <w:rPr>
          <w:rFonts w:ascii="Arial" w:hAnsi="Arial" w:cs="Arial"/>
          <w:b/>
          <w:color w:val="00B0F0"/>
        </w:rPr>
      </w:pPr>
    </w:p>
    <w:p w14:paraId="24F82DAC" w14:textId="28861A09" w:rsidR="00F7258F" w:rsidRPr="00476E4A" w:rsidRDefault="00FD0BD2" w:rsidP="00F7258F">
      <w:pPr>
        <w:autoSpaceDE w:val="0"/>
        <w:autoSpaceDN w:val="0"/>
        <w:adjustRightInd w:val="0"/>
        <w:spacing w:after="0" w:line="240" w:lineRule="auto"/>
        <w:rPr>
          <w:rFonts w:ascii="Arial" w:hAnsi="Arial" w:cs="Arial"/>
          <w:b/>
          <w:color w:val="00B0F0"/>
        </w:rPr>
      </w:pPr>
      <w:r w:rsidRPr="00476E4A">
        <w:rPr>
          <w:rFonts w:ascii="Arial" w:hAnsi="Arial" w:cs="Arial"/>
          <w:b/>
          <w:color w:val="00B0F0"/>
        </w:rPr>
        <w:t xml:space="preserve">Outcome: </w:t>
      </w:r>
      <w:r w:rsidR="00F7258F" w:rsidRPr="00476E4A">
        <w:rPr>
          <w:rFonts w:ascii="Arial" w:hAnsi="Arial" w:cs="Arial"/>
          <w:b/>
          <w:color w:val="00B0F0"/>
        </w:rPr>
        <w:t>A respectful and incl</w:t>
      </w:r>
      <w:r w:rsidRPr="00476E4A">
        <w:rPr>
          <w:rFonts w:ascii="Arial" w:hAnsi="Arial" w:cs="Arial"/>
          <w:b/>
          <w:color w:val="00B0F0"/>
        </w:rPr>
        <w:t>usive narrative about diversity</w:t>
      </w:r>
    </w:p>
    <w:p w14:paraId="5FFCF487" w14:textId="77777777" w:rsidR="00F7258F" w:rsidRPr="0054491B" w:rsidRDefault="00F7258F" w:rsidP="00F7258F">
      <w:pPr>
        <w:autoSpaceDE w:val="0"/>
        <w:autoSpaceDN w:val="0"/>
        <w:adjustRightInd w:val="0"/>
        <w:spacing w:after="0" w:line="240" w:lineRule="auto"/>
        <w:rPr>
          <w:rFonts w:ascii="Arial" w:hAnsi="Arial" w:cs="Arial"/>
        </w:rPr>
      </w:pPr>
    </w:p>
    <w:tbl>
      <w:tblPr>
        <w:tblStyle w:val="TableGrid"/>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43"/>
        <w:gridCol w:w="3708"/>
        <w:gridCol w:w="2679"/>
        <w:gridCol w:w="2679"/>
        <w:gridCol w:w="2679"/>
      </w:tblGrid>
      <w:tr w:rsidR="005D7BC2" w:rsidRPr="0054491B" w14:paraId="39D668D8" w14:textId="4AB61FC3" w:rsidTr="003D315C">
        <w:trPr>
          <w:tblHeader/>
        </w:trPr>
        <w:tc>
          <w:tcPr>
            <w:tcW w:w="2215" w:type="pct"/>
          </w:tcPr>
          <w:p w14:paraId="063DBF1B" w14:textId="77777777" w:rsidR="005D7BC2" w:rsidRPr="0054491B" w:rsidRDefault="005D7BC2" w:rsidP="005D7BC2">
            <w:pPr>
              <w:autoSpaceDE w:val="0"/>
              <w:autoSpaceDN w:val="0"/>
              <w:adjustRightInd w:val="0"/>
              <w:spacing w:after="120"/>
              <w:rPr>
                <w:rFonts w:ascii="Arial" w:hAnsi="Arial" w:cs="Arial"/>
                <w:b/>
              </w:rPr>
            </w:pPr>
            <w:r w:rsidRPr="0054491B">
              <w:rPr>
                <w:rFonts w:ascii="Arial" w:hAnsi="Arial" w:cs="Arial"/>
                <w:b/>
              </w:rPr>
              <w:t>Action</w:t>
            </w:r>
          </w:p>
        </w:tc>
        <w:tc>
          <w:tcPr>
            <w:tcW w:w="879" w:type="pct"/>
          </w:tcPr>
          <w:p w14:paraId="09D91D0B" w14:textId="77777777" w:rsidR="005D7BC2" w:rsidRPr="0054491B" w:rsidRDefault="005D7BC2" w:rsidP="005D7BC2">
            <w:pPr>
              <w:autoSpaceDE w:val="0"/>
              <w:autoSpaceDN w:val="0"/>
              <w:adjustRightInd w:val="0"/>
              <w:spacing w:after="120"/>
              <w:rPr>
                <w:rFonts w:ascii="Arial" w:hAnsi="Arial" w:cs="Arial"/>
                <w:b/>
              </w:rPr>
            </w:pPr>
            <w:r w:rsidRPr="0054491B">
              <w:rPr>
                <w:rFonts w:ascii="Arial" w:hAnsi="Arial" w:cs="Arial"/>
                <w:b/>
              </w:rPr>
              <w:t>Lead</w:t>
            </w:r>
          </w:p>
        </w:tc>
        <w:tc>
          <w:tcPr>
            <w:tcW w:w="635" w:type="pct"/>
          </w:tcPr>
          <w:p w14:paraId="693BE53E" w14:textId="77777777" w:rsidR="005D7BC2" w:rsidRPr="0054491B" w:rsidRDefault="005D7BC2" w:rsidP="005D7BC2">
            <w:pPr>
              <w:autoSpaceDE w:val="0"/>
              <w:autoSpaceDN w:val="0"/>
              <w:adjustRightInd w:val="0"/>
              <w:spacing w:after="120"/>
              <w:rPr>
                <w:rFonts w:ascii="Arial" w:hAnsi="Arial" w:cs="Arial"/>
                <w:b/>
              </w:rPr>
            </w:pPr>
            <w:r w:rsidRPr="0054491B">
              <w:rPr>
                <w:rFonts w:ascii="Arial" w:hAnsi="Arial" w:cs="Arial"/>
                <w:b/>
              </w:rPr>
              <w:t>Timeframe</w:t>
            </w:r>
          </w:p>
        </w:tc>
        <w:tc>
          <w:tcPr>
            <w:tcW w:w="635" w:type="pct"/>
          </w:tcPr>
          <w:p w14:paraId="426F103A" w14:textId="77777777" w:rsidR="005D7BC2" w:rsidRDefault="005D7BC2" w:rsidP="005D7BC2">
            <w:pPr>
              <w:autoSpaceDE w:val="0"/>
              <w:autoSpaceDN w:val="0"/>
              <w:adjustRightInd w:val="0"/>
              <w:spacing w:after="120"/>
              <w:rPr>
                <w:rFonts w:ascii="Arial" w:hAnsi="Arial" w:cs="Arial"/>
                <w:b/>
              </w:rPr>
            </w:pPr>
            <w:r>
              <w:rPr>
                <w:rFonts w:ascii="Arial" w:hAnsi="Arial" w:cs="Arial"/>
                <w:b/>
              </w:rPr>
              <w:t>Progress status</w:t>
            </w:r>
          </w:p>
          <w:p w14:paraId="39CE579D" w14:textId="77777777" w:rsidR="005D7BC2" w:rsidRPr="00CA079A" w:rsidRDefault="005D7BC2" w:rsidP="00CA079A">
            <w:pPr>
              <w:autoSpaceDE w:val="0"/>
              <w:autoSpaceDN w:val="0"/>
              <w:adjustRightInd w:val="0"/>
              <w:spacing w:after="120"/>
              <w:rPr>
                <w:rFonts w:ascii="Arial" w:hAnsi="Arial" w:cs="Arial"/>
              </w:rPr>
            </w:pPr>
            <w:r w:rsidRPr="00CA079A">
              <w:rPr>
                <w:rFonts w:ascii="Arial" w:hAnsi="Arial" w:cs="Arial"/>
              </w:rPr>
              <w:t xml:space="preserve">Legend: </w:t>
            </w:r>
          </w:p>
          <w:p w14:paraId="3C03F402" w14:textId="77777777" w:rsidR="005D7BC2" w:rsidRPr="00534C28" w:rsidRDefault="005D7BC2" w:rsidP="005D7BC2">
            <w:pPr>
              <w:pStyle w:val="ListParagraph"/>
              <w:numPr>
                <w:ilvl w:val="0"/>
                <w:numId w:val="3"/>
              </w:numPr>
              <w:autoSpaceDE w:val="0"/>
              <w:autoSpaceDN w:val="0"/>
              <w:adjustRightInd w:val="0"/>
              <w:spacing w:after="120"/>
              <w:rPr>
                <w:rFonts w:ascii="Arial" w:hAnsi="Arial" w:cs="Arial"/>
              </w:rPr>
            </w:pPr>
            <w:r w:rsidRPr="00534C28">
              <w:rPr>
                <w:rFonts w:ascii="Arial" w:hAnsi="Arial" w:cs="Arial"/>
              </w:rPr>
              <w:t>On track</w:t>
            </w:r>
          </w:p>
          <w:p w14:paraId="7EB4BF9F" w14:textId="77777777" w:rsidR="005D7BC2" w:rsidRPr="00534C28" w:rsidRDefault="005D7BC2" w:rsidP="005D7BC2">
            <w:pPr>
              <w:pStyle w:val="ListParagraph"/>
              <w:numPr>
                <w:ilvl w:val="0"/>
                <w:numId w:val="3"/>
              </w:numPr>
              <w:autoSpaceDE w:val="0"/>
              <w:autoSpaceDN w:val="0"/>
              <w:adjustRightInd w:val="0"/>
              <w:spacing w:after="120"/>
              <w:rPr>
                <w:rFonts w:ascii="Arial" w:hAnsi="Arial" w:cs="Arial"/>
              </w:rPr>
            </w:pPr>
            <w:r w:rsidRPr="00534C28">
              <w:rPr>
                <w:rFonts w:ascii="Arial" w:hAnsi="Arial" w:cs="Arial"/>
              </w:rPr>
              <w:t>Completed</w:t>
            </w:r>
          </w:p>
          <w:p w14:paraId="19E89C4D" w14:textId="77777777" w:rsidR="00CA079A" w:rsidRPr="00CA079A" w:rsidRDefault="005D7BC2" w:rsidP="005D7BC2">
            <w:pPr>
              <w:pStyle w:val="ListParagraph"/>
              <w:numPr>
                <w:ilvl w:val="0"/>
                <w:numId w:val="3"/>
              </w:numPr>
              <w:autoSpaceDE w:val="0"/>
              <w:autoSpaceDN w:val="0"/>
              <w:adjustRightInd w:val="0"/>
              <w:spacing w:after="120"/>
              <w:rPr>
                <w:rFonts w:ascii="Arial" w:hAnsi="Arial" w:cs="Arial"/>
                <w:b/>
              </w:rPr>
            </w:pPr>
            <w:r w:rsidRPr="00534C28">
              <w:rPr>
                <w:rFonts w:ascii="Arial" w:hAnsi="Arial" w:cs="Arial"/>
              </w:rPr>
              <w:t>Yet to commence</w:t>
            </w:r>
          </w:p>
          <w:p w14:paraId="24FFCD80" w14:textId="0BC0FD9C" w:rsidR="005D7BC2" w:rsidRPr="00CA079A" w:rsidRDefault="005D7BC2" w:rsidP="005D7BC2">
            <w:pPr>
              <w:pStyle w:val="ListParagraph"/>
              <w:numPr>
                <w:ilvl w:val="0"/>
                <w:numId w:val="3"/>
              </w:numPr>
              <w:autoSpaceDE w:val="0"/>
              <w:autoSpaceDN w:val="0"/>
              <w:adjustRightInd w:val="0"/>
              <w:spacing w:after="120"/>
              <w:rPr>
                <w:rFonts w:ascii="Arial" w:hAnsi="Arial" w:cs="Arial"/>
                <w:b/>
              </w:rPr>
            </w:pPr>
            <w:r w:rsidRPr="00CA079A">
              <w:rPr>
                <w:rFonts w:ascii="Arial" w:hAnsi="Arial" w:cs="Arial"/>
              </w:rPr>
              <w:t>Ceased</w:t>
            </w:r>
          </w:p>
        </w:tc>
        <w:tc>
          <w:tcPr>
            <w:tcW w:w="635" w:type="pct"/>
          </w:tcPr>
          <w:p w14:paraId="6DF3BAE7" w14:textId="77777777" w:rsidR="005D7BC2" w:rsidRPr="00534C28" w:rsidRDefault="005D7BC2" w:rsidP="005D7BC2">
            <w:pPr>
              <w:autoSpaceDE w:val="0"/>
              <w:autoSpaceDN w:val="0"/>
              <w:adjustRightInd w:val="0"/>
              <w:spacing w:after="120"/>
              <w:rPr>
                <w:rFonts w:ascii="Arial" w:hAnsi="Arial" w:cs="Arial"/>
                <w:b/>
              </w:rPr>
            </w:pPr>
            <w:r w:rsidRPr="00534C28">
              <w:rPr>
                <w:rFonts w:ascii="Arial" w:hAnsi="Arial" w:cs="Arial"/>
                <w:b/>
              </w:rPr>
              <w:t>Achievements and outcomes</w:t>
            </w:r>
          </w:p>
          <w:p w14:paraId="3A561213" w14:textId="77777777" w:rsidR="005D7BC2" w:rsidRPr="00534C28" w:rsidRDefault="005D7BC2" w:rsidP="005D7BC2">
            <w:pPr>
              <w:rPr>
                <w:rFonts w:ascii="Arial" w:hAnsi="Arial" w:cs="Arial"/>
              </w:rPr>
            </w:pPr>
            <w:r w:rsidRPr="00534C28">
              <w:rPr>
                <w:rFonts w:ascii="Arial" w:hAnsi="Arial" w:cs="Arial"/>
              </w:rPr>
              <w:t xml:space="preserve">Please provide commentary </w:t>
            </w:r>
            <w:proofErr w:type="spellStart"/>
            <w:r w:rsidRPr="00534C28">
              <w:rPr>
                <w:rFonts w:ascii="Arial" w:hAnsi="Arial" w:cs="Arial"/>
              </w:rPr>
              <w:t>eg</w:t>
            </w:r>
            <w:proofErr w:type="spellEnd"/>
            <w:r w:rsidRPr="00534C28">
              <w:rPr>
                <w:rFonts w:ascii="Arial" w:hAnsi="Arial" w:cs="Arial"/>
              </w:rPr>
              <w:t xml:space="preserve">. 3-4 dot points of advice on </w:t>
            </w:r>
            <w:r>
              <w:rPr>
                <w:rFonts w:ascii="Arial" w:hAnsi="Arial" w:cs="Arial"/>
              </w:rPr>
              <w:t>achievements and outcomes.</w:t>
            </w:r>
            <w:r w:rsidRPr="00534C28">
              <w:rPr>
                <w:rFonts w:ascii="Arial" w:hAnsi="Arial" w:cs="Arial"/>
              </w:rPr>
              <w:t xml:space="preserve"> Include qualitative and quantitative data if available/relevant. </w:t>
            </w:r>
          </w:p>
          <w:p w14:paraId="47ED6903" w14:textId="13003AF2" w:rsidR="005D7BC2" w:rsidRPr="0054491B" w:rsidRDefault="005D7BC2" w:rsidP="005D7BC2">
            <w:pPr>
              <w:autoSpaceDE w:val="0"/>
              <w:autoSpaceDN w:val="0"/>
              <w:adjustRightInd w:val="0"/>
              <w:spacing w:after="120"/>
              <w:rPr>
                <w:rFonts w:ascii="Arial" w:hAnsi="Arial" w:cs="Arial"/>
                <w:b/>
              </w:rPr>
            </w:pPr>
            <w:r w:rsidRPr="00534C28">
              <w:rPr>
                <w:rFonts w:ascii="Arial" w:hAnsi="Arial" w:cs="Arial"/>
                <w:b/>
                <w:i/>
              </w:rPr>
              <w:t>If action has ceased please include reason.</w:t>
            </w:r>
          </w:p>
        </w:tc>
      </w:tr>
      <w:tr w:rsidR="005D7BC2" w:rsidRPr="0054491B" w14:paraId="65870F64" w14:textId="0E9CC6B8" w:rsidTr="003D315C">
        <w:tc>
          <w:tcPr>
            <w:tcW w:w="2215" w:type="pct"/>
          </w:tcPr>
          <w:p w14:paraId="117CAA91" w14:textId="77777777" w:rsidR="005D7BC2" w:rsidRPr="0054491B" w:rsidRDefault="005D7BC2" w:rsidP="005D7BC2">
            <w:pPr>
              <w:autoSpaceDE w:val="0"/>
              <w:autoSpaceDN w:val="0"/>
              <w:adjustRightInd w:val="0"/>
              <w:spacing w:after="120"/>
              <w:rPr>
                <w:rFonts w:ascii="Arial" w:hAnsi="Arial" w:cs="Arial"/>
              </w:rPr>
            </w:pPr>
            <w:r w:rsidRPr="0054491B">
              <w:rPr>
                <w:rFonts w:ascii="Arial" w:hAnsi="Arial" w:cs="Arial"/>
              </w:rPr>
              <w:t>Deliver training programs which provide information on</w:t>
            </w:r>
            <w:r>
              <w:rPr>
                <w:rFonts w:ascii="Arial" w:hAnsi="Arial" w:cs="Arial"/>
              </w:rPr>
              <w:t xml:space="preserve"> </w:t>
            </w:r>
            <w:r w:rsidRPr="0054491B">
              <w:rPr>
                <w:rFonts w:ascii="Arial" w:hAnsi="Arial" w:cs="Arial"/>
              </w:rPr>
              <w:t>discrimination law, unconscious bias and financial benefits of</w:t>
            </w:r>
            <w:r>
              <w:rPr>
                <w:rFonts w:ascii="Arial" w:hAnsi="Arial" w:cs="Arial"/>
              </w:rPr>
              <w:t xml:space="preserve"> </w:t>
            </w:r>
            <w:r w:rsidRPr="0054491B">
              <w:rPr>
                <w:rFonts w:ascii="Arial" w:hAnsi="Arial" w:cs="Arial"/>
              </w:rPr>
              <w:t>diverse and inclusive workplaces.</w:t>
            </w:r>
          </w:p>
        </w:tc>
        <w:tc>
          <w:tcPr>
            <w:tcW w:w="879" w:type="pct"/>
          </w:tcPr>
          <w:p w14:paraId="76A82A27" w14:textId="77777777" w:rsidR="005D7BC2" w:rsidRPr="0054491B" w:rsidRDefault="005D7BC2" w:rsidP="005D7BC2">
            <w:pPr>
              <w:autoSpaceDE w:val="0"/>
              <w:autoSpaceDN w:val="0"/>
              <w:adjustRightInd w:val="0"/>
              <w:rPr>
                <w:rFonts w:ascii="Arial" w:hAnsi="Arial" w:cs="Arial"/>
              </w:rPr>
            </w:pPr>
            <w:r w:rsidRPr="0054491B">
              <w:rPr>
                <w:rFonts w:ascii="Arial" w:hAnsi="Arial" w:cs="Arial"/>
              </w:rPr>
              <w:t>ADCQ</w:t>
            </w:r>
          </w:p>
        </w:tc>
        <w:tc>
          <w:tcPr>
            <w:tcW w:w="635" w:type="pct"/>
          </w:tcPr>
          <w:p w14:paraId="2C662430" w14:textId="77777777" w:rsidR="005D7BC2" w:rsidRPr="0054491B" w:rsidRDefault="005D7BC2" w:rsidP="005D7BC2">
            <w:pPr>
              <w:autoSpaceDE w:val="0"/>
              <w:autoSpaceDN w:val="0"/>
              <w:adjustRightInd w:val="0"/>
              <w:spacing w:after="120"/>
              <w:rPr>
                <w:rFonts w:ascii="Arial" w:hAnsi="Arial" w:cs="Arial"/>
              </w:rPr>
            </w:pPr>
            <w:r w:rsidRPr="0054491B">
              <w:rPr>
                <w:rFonts w:ascii="Arial" w:hAnsi="Arial" w:cs="Arial"/>
              </w:rPr>
              <w:t>2016–19</w:t>
            </w:r>
          </w:p>
        </w:tc>
        <w:tc>
          <w:tcPr>
            <w:tcW w:w="635" w:type="pct"/>
          </w:tcPr>
          <w:p w14:paraId="5E11EE17" w14:textId="509CA78E" w:rsidR="005D7BC2" w:rsidRPr="0054491B" w:rsidRDefault="007C4DCF" w:rsidP="005D7BC2">
            <w:pPr>
              <w:autoSpaceDE w:val="0"/>
              <w:autoSpaceDN w:val="0"/>
              <w:adjustRightInd w:val="0"/>
              <w:spacing w:after="120"/>
              <w:rPr>
                <w:rFonts w:ascii="Arial" w:hAnsi="Arial" w:cs="Arial"/>
              </w:rPr>
            </w:pPr>
            <w:r>
              <w:rPr>
                <w:rFonts w:ascii="Arial" w:hAnsi="Arial" w:cs="Arial"/>
              </w:rPr>
              <w:t>On track</w:t>
            </w:r>
          </w:p>
        </w:tc>
        <w:tc>
          <w:tcPr>
            <w:tcW w:w="635" w:type="pct"/>
          </w:tcPr>
          <w:p w14:paraId="278BA667" w14:textId="34F74BBC" w:rsidR="005D7BC2" w:rsidRDefault="007C4DCF" w:rsidP="005D7BC2">
            <w:pPr>
              <w:autoSpaceDE w:val="0"/>
              <w:autoSpaceDN w:val="0"/>
              <w:adjustRightInd w:val="0"/>
              <w:spacing w:after="120"/>
              <w:rPr>
                <w:rFonts w:ascii="Arial" w:hAnsi="Arial" w:cs="Arial"/>
              </w:rPr>
            </w:pPr>
            <w:r>
              <w:rPr>
                <w:rFonts w:ascii="Arial" w:hAnsi="Arial" w:cs="Arial"/>
              </w:rPr>
              <w:t xml:space="preserve">In 2017-18 the ADCQ delivered </w:t>
            </w:r>
            <w:r w:rsidR="005217CC">
              <w:rPr>
                <w:rFonts w:ascii="Arial" w:hAnsi="Arial" w:cs="Arial"/>
              </w:rPr>
              <w:t xml:space="preserve">271 training sessions across Queensland to approximately 4321 people. </w:t>
            </w:r>
          </w:p>
          <w:p w14:paraId="0E2133C2" w14:textId="773D4FBE" w:rsidR="005217CC" w:rsidRDefault="005217CC" w:rsidP="005D7BC2">
            <w:pPr>
              <w:autoSpaceDE w:val="0"/>
              <w:autoSpaceDN w:val="0"/>
              <w:adjustRightInd w:val="0"/>
              <w:spacing w:after="120"/>
              <w:rPr>
                <w:rFonts w:ascii="Arial" w:hAnsi="Arial" w:cs="Arial"/>
              </w:rPr>
            </w:pPr>
            <w:r>
              <w:rPr>
                <w:rFonts w:ascii="Arial" w:hAnsi="Arial" w:cs="Arial"/>
              </w:rPr>
              <w:t>Training sessions included Unconscious Bias (59), Business Benefits of Diverse &amp; Inclusive Workplaces (6) and Introduction to the Anti-Discrimination Act (115)</w:t>
            </w:r>
          </w:p>
          <w:p w14:paraId="174A7028" w14:textId="77777777" w:rsidR="007C4DCF" w:rsidRDefault="007C4DCF" w:rsidP="005D7BC2">
            <w:pPr>
              <w:autoSpaceDE w:val="0"/>
              <w:autoSpaceDN w:val="0"/>
              <w:adjustRightInd w:val="0"/>
              <w:spacing w:after="120"/>
              <w:rPr>
                <w:rFonts w:ascii="Arial" w:hAnsi="Arial" w:cs="Arial"/>
              </w:rPr>
            </w:pPr>
          </w:p>
          <w:p w14:paraId="2F80282F" w14:textId="4A602075" w:rsidR="007C4DCF" w:rsidRPr="0054491B" w:rsidRDefault="007C4DCF" w:rsidP="005D7BC2">
            <w:pPr>
              <w:autoSpaceDE w:val="0"/>
              <w:autoSpaceDN w:val="0"/>
              <w:adjustRightInd w:val="0"/>
              <w:spacing w:after="120"/>
              <w:rPr>
                <w:rFonts w:ascii="Arial" w:hAnsi="Arial" w:cs="Arial"/>
              </w:rPr>
            </w:pPr>
            <w:r>
              <w:rPr>
                <w:rFonts w:ascii="Arial" w:hAnsi="Arial" w:cs="Arial"/>
              </w:rPr>
              <w:t xml:space="preserve">Delivered a tailored training package to public transport providers about discrimination and vilification on buses and trains. </w:t>
            </w:r>
          </w:p>
        </w:tc>
      </w:tr>
      <w:tr w:rsidR="005D7BC2" w:rsidRPr="0054491B" w14:paraId="18680E70" w14:textId="62925469" w:rsidTr="003D315C">
        <w:tc>
          <w:tcPr>
            <w:tcW w:w="2215" w:type="pct"/>
          </w:tcPr>
          <w:p w14:paraId="096653E3" w14:textId="77777777" w:rsidR="005D7BC2" w:rsidRPr="0054491B" w:rsidRDefault="005D7BC2" w:rsidP="005D7BC2">
            <w:pPr>
              <w:autoSpaceDE w:val="0"/>
              <w:autoSpaceDN w:val="0"/>
              <w:adjustRightInd w:val="0"/>
              <w:spacing w:after="120"/>
              <w:rPr>
                <w:rFonts w:ascii="Arial" w:hAnsi="Arial" w:cs="Arial"/>
              </w:rPr>
            </w:pPr>
            <w:r w:rsidRPr="0054491B">
              <w:rPr>
                <w:rFonts w:ascii="Arial" w:hAnsi="Arial" w:cs="Arial"/>
              </w:rPr>
              <w:t>Co-deliver a forum for multicultural leaders on strategic ways to</w:t>
            </w:r>
            <w:r>
              <w:rPr>
                <w:rFonts w:ascii="Arial" w:hAnsi="Arial" w:cs="Arial"/>
              </w:rPr>
              <w:t xml:space="preserve"> </w:t>
            </w:r>
            <w:r w:rsidRPr="0054491B">
              <w:rPr>
                <w:rFonts w:ascii="Arial" w:hAnsi="Arial" w:cs="Arial"/>
              </w:rPr>
              <w:t>counter or respond to misinformation, negative stereotypes, racism,</w:t>
            </w:r>
            <w:r>
              <w:rPr>
                <w:rFonts w:ascii="Arial" w:hAnsi="Arial" w:cs="Arial"/>
              </w:rPr>
              <w:t xml:space="preserve"> </w:t>
            </w:r>
            <w:r w:rsidRPr="0054491B">
              <w:rPr>
                <w:rFonts w:ascii="Arial" w:hAnsi="Arial" w:cs="Arial"/>
              </w:rPr>
              <w:t>vilification and discrimination in mainstream and social media.</w:t>
            </w:r>
          </w:p>
        </w:tc>
        <w:tc>
          <w:tcPr>
            <w:tcW w:w="879" w:type="pct"/>
          </w:tcPr>
          <w:p w14:paraId="35ACD5CD" w14:textId="77777777" w:rsidR="005D7BC2" w:rsidRPr="0054491B" w:rsidRDefault="005D7BC2" w:rsidP="005D7BC2">
            <w:pPr>
              <w:autoSpaceDE w:val="0"/>
              <w:autoSpaceDN w:val="0"/>
              <w:adjustRightInd w:val="0"/>
              <w:rPr>
                <w:rFonts w:ascii="Arial" w:hAnsi="Arial" w:cs="Arial"/>
              </w:rPr>
            </w:pPr>
            <w:r w:rsidRPr="0054491B">
              <w:rPr>
                <w:rFonts w:ascii="Arial" w:hAnsi="Arial" w:cs="Arial"/>
              </w:rPr>
              <w:t>ADCQ</w:t>
            </w:r>
          </w:p>
        </w:tc>
        <w:tc>
          <w:tcPr>
            <w:tcW w:w="635" w:type="pct"/>
          </w:tcPr>
          <w:p w14:paraId="4292E500" w14:textId="1563B1DB" w:rsidR="005D7BC2" w:rsidRPr="0054491B" w:rsidRDefault="005D7BC2" w:rsidP="005D7BC2">
            <w:pPr>
              <w:autoSpaceDE w:val="0"/>
              <w:autoSpaceDN w:val="0"/>
              <w:adjustRightInd w:val="0"/>
              <w:spacing w:after="120"/>
              <w:rPr>
                <w:rFonts w:ascii="Arial" w:hAnsi="Arial" w:cs="Arial"/>
              </w:rPr>
            </w:pPr>
            <w:r w:rsidRPr="0054491B">
              <w:rPr>
                <w:rFonts w:ascii="Arial" w:hAnsi="Arial" w:cs="Arial"/>
              </w:rPr>
              <w:t>2016–1</w:t>
            </w:r>
            <w:r>
              <w:rPr>
                <w:rFonts w:ascii="Arial" w:hAnsi="Arial" w:cs="Arial"/>
              </w:rPr>
              <w:t>9</w:t>
            </w:r>
          </w:p>
        </w:tc>
        <w:tc>
          <w:tcPr>
            <w:tcW w:w="635" w:type="pct"/>
          </w:tcPr>
          <w:p w14:paraId="073CBC64" w14:textId="686D0AA4" w:rsidR="005D7BC2" w:rsidRPr="0054491B" w:rsidRDefault="007C4DCF" w:rsidP="005D7BC2">
            <w:pPr>
              <w:autoSpaceDE w:val="0"/>
              <w:autoSpaceDN w:val="0"/>
              <w:adjustRightInd w:val="0"/>
              <w:spacing w:after="120"/>
              <w:rPr>
                <w:rFonts w:ascii="Arial" w:hAnsi="Arial" w:cs="Arial"/>
              </w:rPr>
            </w:pPr>
            <w:r>
              <w:rPr>
                <w:rFonts w:ascii="Arial" w:hAnsi="Arial" w:cs="Arial"/>
              </w:rPr>
              <w:t>Completed</w:t>
            </w:r>
          </w:p>
        </w:tc>
        <w:tc>
          <w:tcPr>
            <w:tcW w:w="635" w:type="pct"/>
          </w:tcPr>
          <w:p w14:paraId="2159DFE1" w14:textId="77777777" w:rsidR="007C4DCF" w:rsidRPr="005217CC" w:rsidRDefault="007C4DCF" w:rsidP="007C4DCF">
            <w:pPr>
              <w:spacing w:before="120" w:after="120"/>
              <w:rPr>
                <w:rFonts w:ascii="Arial" w:hAnsi="Arial" w:cs="Arial"/>
                <w:i/>
                <w:lang w:eastAsia="en-AU"/>
              </w:rPr>
            </w:pPr>
            <w:r w:rsidRPr="005217CC">
              <w:rPr>
                <w:rFonts w:ascii="Arial" w:hAnsi="Arial" w:cs="Arial"/>
                <w:lang w:eastAsia="en-AU"/>
              </w:rPr>
              <w:t>Partnered with Media Diversity Australia and Multicultural Affairs Queensland to deliver a media diversity workshop to journalists from diverse backgrounds.</w:t>
            </w:r>
          </w:p>
          <w:p w14:paraId="22BD28F9" w14:textId="77777777" w:rsidR="005D7BC2" w:rsidRPr="0054491B" w:rsidRDefault="005D7BC2" w:rsidP="005D7BC2">
            <w:pPr>
              <w:autoSpaceDE w:val="0"/>
              <w:autoSpaceDN w:val="0"/>
              <w:adjustRightInd w:val="0"/>
              <w:spacing w:after="120"/>
              <w:rPr>
                <w:rFonts w:ascii="Arial" w:hAnsi="Arial" w:cs="Arial"/>
              </w:rPr>
            </w:pPr>
          </w:p>
        </w:tc>
      </w:tr>
      <w:tr w:rsidR="005D7BC2" w:rsidRPr="0054491B" w14:paraId="162CEACF" w14:textId="4DD9905A" w:rsidTr="003D315C">
        <w:tc>
          <w:tcPr>
            <w:tcW w:w="2215" w:type="pct"/>
          </w:tcPr>
          <w:p w14:paraId="6AFEA591" w14:textId="77777777" w:rsidR="005D7BC2" w:rsidRPr="0054491B" w:rsidRDefault="005D7BC2" w:rsidP="005D7BC2">
            <w:pPr>
              <w:autoSpaceDE w:val="0"/>
              <w:autoSpaceDN w:val="0"/>
              <w:adjustRightInd w:val="0"/>
              <w:spacing w:after="120"/>
              <w:rPr>
                <w:rFonts w:ascii="Arial" w:hAnsi="Arial" w:cs="Arial"/>
              </w:rPr>
            </w:pPr>
            <w:r w:rsidRPr="0054491B">
              <w:rPr>
                <w:rFonts w:ascii="Arial" w:hAnsi="Arial" w:cs="Arial"/>
              </w:rPr>
              <w:t>Develop sustainable opportunities with AFL Queensland to</w:t>
            </w:r>
            <w:r>
              <w:rPr>
                <w:rFonts w:ascii="Arial" w:hAnsi="Arial" w:cs="Arial"/>
              </w:rPr>
              <w:t xml:space="preserve"> </w:t>
            </w:r>
            <w:r w:rsidRPr="0054491B">
              <w:rPr>
                <w:rFonts w:ascii="Arial" w:hAnsi="Arial" w:cs="Arial"/>
              </w:rPr>
              <w:t>welcome refugees and migrants and include new Queenslanders in</w:t>
            </w:r>
            <w:r>
              <w:rPr>
                <w:rFonts w:ascii="Arial" w:hAnsi="Arial" w:cs="Arial"/>
              </w:rPr>
              <w:t xml:space="preserve"> </w:t>
            </w:r>
            <w:r w:rsidRPr="0054491B">
              <w:rPr>
                <w:rFonts w:ascii="Arial" w:hAnsi="Arial" w:cs="Arial"/>
              </w:rPr>
              <w:t>all aspects of our state’s sporting culture.</w:t>
            </w:r>
          </w:p>
        </w:tc>
        <w:tc>
          <w:tcPr>
            <w:tcW w:w="879" w:type="pct"/>
          </w:tcPr>
          <w:p w14:paraId="4622A56F" w14:textId="77777777" w:rsidR="005D7BC2" w:rsidRPr="0054491B" w:rsidRDefault="005D7BC2" w:rsidP="005D7BC2">
            <w:pPr>
              <w:autoSpaceDE w:val="0"/>
              <w:autoSpaceDN w:val="0"/>
              <w:adjustRightInd w:val="0"/>
              <w:rPr>
                <w:rFonts w:ascii="Arial" w:hAnsi="Arial" w:cs="Arial"/>
              </w:rPr>
            </w:pPr>
            <w:r w:rsidRPr="0054491B">
              <w:rPr>
                <w:rFonts w:ascii="Arial" w:hAnsi="Arial" w:cs="Arial"/>
              </w:rPr>
              <w:t>ADCQ</w:t>
            </w:r>
          </w:p>
        </w:tc>
        <w:tc>
          <w:tcPr>
            <w:tcW w:w="635" w:type="pct"/>
          </w:tcPr>
          <w:p w14:paraId="4D5D65BB" w14:textId="77777777" w:rsidR="005D7BC2" w:rsidRDefault="005D7BC2" w:rsidP="005D7BC2">
            <w:pPr>
              <w:autoSpaceDE w:val="0"/>
              <w:autoSpaceDN w:val="0"/>
              <w:adjustRightInd w:val="0"/>
              <w:spacing w:after="120"/>
              <w:rPr>
                <w:rFonts w:ascii="Arial" w:hAnsi="Arial" w:cs="Arial"/>
              </w:rPr>
            </w:pPr>
            <w:r w:rsidRPr="0054491B">
              <w:rPr>
                <w:rFonts w:ascii="Arial" w:hAnsi="Arial" w:cs="Arial"/>
              </w:rPr>
              <w:t>2016–17</w:t>
            </w:r>
          </w:p>
          <w:p w14:paraId="3A31739C" w14:textId="3ECCC8C2" w:rsidR="005D7BC2" w:rsidRPr="002405AA" w:rsidRDefault="005D7BC2" w:rsidP="005D7BC2">
            <w:pPr>
              <w:autoSpaceDE w:val="0"/>
              <w:autoSpaceDN w:val="0"/>
              <w:adjustRightInd w:val="0"/>
              <w:spacing w:after="120"/>
              <w:rPr>
                <w:rFonts w:ascii="Arial" w:hAnsi="Arial" w:cs="Arial"/>
                <w:b/>
                <w:i/>
              </w:rPr>
            </w:pPr>
          </w:p>
        </w:tc>
        <w:tc>
          <w:tcPr>
            <w:tcW w:w="635" w:type="pct"/>
          </w:tcPr>
          <w:p w14:paraId="58A76B68" w14:textId="513E84A8" w:rsidR="005D7BC2" w:rsidRPr="0054491B" w:rsidRDefault="00220034" w:rsidP="005D7BC2">
            <w:pPr>
              <w:autoSpaceDE w:val="0"/>
              <w:autoSpaceDN w:val="0"/>
              <w:adjustRightInd w:val="0"/>
              <w:spacing w:after="120"/>
              <w:rPr>
                <w:rFonts w:ascii="Arial" w:hAnsi="Arial" w:cs="Arial"/>
              </w:rPr>
            </w:pPr>
            <w:r w:rsidRPr="002405AA">
              <w:rPr>
                <w:rFonts w:ascii="Arial" w:hAnsi="Arial" w:cs="Arial"/>
                <w:b/>
                <w:i/>
              </w:rPr>
              <w:t>Completed</w:t>
            </w:r>
          </w:p>
        </w:tc>
        <w:tc>
          <w:tcPr>
            <w:tcW w:w="635" w:type="pct"/>
          </w:tcPr>
          <w:p w14:paraId="2E83B9DE" w14:textId="557B3C6D" w:rsidR="005D7BC2" w:rsidRPr="0054491B" w:rsidRDefault="00F7636D" w:rsidP="005D7BC2">
            <w:pPr>
              <w:autoSpaceDE w:val="0"/>
              <w:autoSpaceDN w:val="0"/>
              <w:adjustRightInd w:val="0"/>
              <w:spacing w:after="120"/>
              <w:rPr>
                <w:rFonts w:ascii="Arial" w:hAnsi="Arial" w:cs="Arial"/>
              </w:rPr>
            </w:pPr>
            <w:r>
              <w:rPr>
                <w:rFonts w:ascii="Arial" w:hAnsi="Arial" w:cs="Arial"/>
              </w:rPr>
              <w:t xml:space="preserve"> </w:t>
            </w:r>
          </w:p>
        </w:tc>
      </w:tr>
      <w:tr w:rsidR="005D7BC2" w:rsidRPr="0054491B" w14:paraId="740B0E73" w14:textId="0E7E4614" w:rsidTr="003D315C">
        <w:tc>
          <w:tcPr>
            <w:tcW w:w="2215" w:type="pct"/>
          </w:tcPr>
          <w:p w14:paraId="5438D772" w14:textId="77777777" w:rsidR="005D7BC2" w:rsidRPr="0054491B" w:rsidRDefault="005D7BC2" w:rsidP="005D7BC2">
            <w:pPr>
              <w:autoSpaceDE w:val="0"/>
              <w:autoSpaceDN w:val="0"/>
              <w:adjustRightInd w:val="0"/>
              <w:spacing w:after="120"/>
              <w:rPr>
                <w:rFonts w:ascii="Arial" w:hAnsi="Arial" w:cs="Arial"/>
              </w:rPr>
            </w:pPr>
            <w:r w:rsidRPr="0054491B">
              <w:rPr>
                <w:rFonts w:ascii="Arial" w:hAnsi="Arial" w:cs="Arial"/>
              </w:rPr>
              <w:t>Deliver an integrated public transport system that is safe and</w:t>
            </w:r>
            <w:r>
              <w:rPr>
                <w:rFonts w:ascii="Arial" w:hAnsi="Arial" w:cs="Arial"/>
              </w:rPr>
              <w:t xml:space="preserve"> </w:t>
            </w:r>
            <w:r w:rsidRPr="0054491B">
              <w:rPr>
                <w:rFonts w:ascii="Arial" w:hAnsi="Arial" w:cs="Arial"/>
              </w:rPr>
              <w:t>accessible to all members of the community and actively work in</w:t>
            </w:r>
            <w:r>
              <w:rPr>
                <w:rFonts w:ascii="Arial" w:hAnsi="Arial" w:cs="Arial"/>
              </w:rPr>
              <w:t xml:space="preserve"> </w:t>
            </w:r>
            <w:r w:rsidRPr="0054491B">
              <w:rPr>
                <w:rFonts w:ascii="Arial" w:hAnsi="Arial" w:cs="Arial"/>
              </w:rPr>
              <w:t>partnership with ADCQ and QPS to support this.</w:t>
            </w:r>
          </w:p>
        </w:tc>
        <w:tc>
          <w:tcPr>
            <w:tcW w:w="879" w:type="pct"/>
          </w:tcPr>
          <w:p w14:paraId="23AE1EDC" w14:textId="77777777" w:rsidR="005D7BC2" w:rsidRPr="0054491B" w:rsidRDefault="005D7BC2" w:rsidP="005D7BC2">
            <w:pPr>
              <w:autoSpaceDE w:val="0"/>
              <w:autoSpaceDN w:val="0"/>
              <w:adjustRightInd w:val="0"/>
              <w:rPr>
                <w:rFonts w:ascii="Arial" w:hAnsi="Arial" w:cs="Arial"/>
              </w:rPr>
            </w:pPr>
            <w:r w:rsidRPr="0054491B">
              <w:rPr>
                <w:rFonts w:ascii="Arial" w:hAnsi="Arial" w:cs="Arial"/>
              </w:rPr>
              <w:t>DTMR</w:t>
            </w:r>
          </w:p>
          <w:p w14:paraId="69E2ADB8" w14:textId="77777777" w:rsidR="005D7BC2" w:rsidRPr="0054491B" w:rsidRDefault="005D7BC2" w:rsidP="005D7BC2">
            <w:pPr>
              <w:autoSpaceDE w:val="0"/>
              <w:autoSpaceDN w:val="0"/>
              <w:adjustRightInd w:val="0"/>
              <w:rPr>
                <w:rFonts w:ascii="Arial" w:hAnsi="Arial" w:cs="Arial"/>
              </w:rPr>
            </w:pPr>
            <w:r w:rsidRPr="0054491B">
              <w:rPr>
                <w:rFonts w:ascii="Arial" w:hAnsi="Arial" w:cs="Arial"/>
              </w:rPr>
              <w:t>ADCQ</w:t>
            </w:r>
          </w:p>
          <w:p w14:paraId="382F56D8" w14:textId="77777777" w:rsidR="005D7BC2" w:rsidRPr="0054491B" w:rsidRDefault="005D7BC2" w:rsidP="005D7BC2">
            <w:pPr>
              <w:autoSpaceDE w:val="0"/>
              <w:autoSpaceDN w:val="0"/>
              <w:adjustRightInd w:val="0"/>
              <w:rPr>
                <w:rFonts w:ascii="Arial" w:hAnsi="Arial" w:cs="Arial"/>
              </w:rPr>
            </w:pPr>
            <w:r w:rsidRPr="0054491B">
              <w:rPr>
                <w:rFonts w:ascii="Arial" w:hAnsi="Arial" w:cs="Arial"/>
              </w:rPr>
              <w:t>QPS</w:t>
            </w:r>
          </w:p>
        </w:tc>
        <w:tc>
          <w:tcPr>
            <w:tcW w:w="635" w:type="pct"/>
          </w:tcPr>
          <w:p w14:paraId="0B235EA2" w14:textId="77777777" w:rsidR="005D7BC2" w:rsidRDefault="005D7BC2" w:rsidP="005D7BC2">
            <w:pPr>
              <w:autoSpaceDE w:val="0"/>
              <w:autoSpaceDN w:val="0"/>
              <w:adjustRightInd w:val="0"/>
              <w:spacing w:after="120"/>
              <w:rPr>
                <w:rFonts w:ascii="Arial" w:hAnsi="Arial" w:cs="Arial"/>
              </w:rPr>
            </w:pPr>
            <w:r w:rsidRPr="0054491B">
              <w:rPr>
                <w:rFonts w:ascii="Arial" w:hAnsi="Arial" w:cs="Arial"/>
              </w:rPr>
              <w:t>2016–18</w:t>
            </w:r>
          </w:p>
          <w:p w14:paraId="66F22F3C" w14:textId="71A648EF" w:rsidR="005D7BC2" w:rsidRPr="002405AA" w:rsidRDefault="005D7BC2" w:rsidP="005D7BC2">
            <w:pPr>
              <w:autoSpaceDE w:val="0"/>
              <w:autoSpaceDN w:val="0"/>
              <w:adjustRightInd w:val="0"/>
              <w:spacing w:after="120"/>
              <w:rPr>
                <w:rFonts w:ascii="Arial" w:hAnsi="Arial" w:cs="Arial"/>
                <w:b/>
                <w:i/>
              </w:rPr>
            </w:pPr>
          </w:p>
        </w:tc>
        <w:tc>
          <w:tcPr>
            <w:tcW w:w="635" w:type="pct"/>
          </w:tcPr>
          <w:p w14:paraId="36A743F8" w14:textId="1348F881" w:rsidR="005D7BC2" w:rsidRPr="0054491B" w:rsidRDefault="00220034" w:rsidP="005D7BC2">
            <w:pPr>
              <w:autoSpaceDE w:val="0"/>
              <w:autoSpaceDN w:val="0"/>
              <w:adjustRightInd w:val="0"/>
              <w:spacing w:after="120"/>
              <w:rPr>
                <w:rFonts w:ascii="Arial" w:hAnsi="Arial" w:cs="Arial"/>
              </w:rPr>
            </w:pPr>
            <w:r w:rsidRPr="002405AA">
              <w:rPr>
                <w:rFonts w:ascii="Arial" w:hAnsi="Arial" w:cs="Arial"/>
                <w:b/>
                <w:i/>
              </w:rPr>
              <w:t>Completed</w:t>
            </w:r>
          </w:p>
        </w:tc>
        <w:tc>
          <w:tcPr>
            <w:tcW w:w="635" w:type="pct"/>
          </w:tcPr>
          <w:p w14:paraId="1D532B3C" w14:textId="77777777" w:rsidR="005D7BC2" w:rsidRPr="0054491B" w:rsidRDefault="005D7BC2" w:rsidP="005D7BC2">
            <w:pPr>
              <w:autoSpaceDE w:val="0"/>
              <w:autoSpaceDN w:val="0"/>
              <w:adjustRightInd w:val="0"/>
              <w:spacing w:after="120"/>
              <w:rPr>
                <w:rFonts w:ascii="Arial" w:hAnsi="Arial" w:cs="Arial"/>
              </w:rPr>
            </w:pPr>
          </w:p>
        </w:tc>
      </w:tr>
    </w:tbl>
    <w:p w14:paraId="7AF62BFE" w14:textId="04F0B59C" w:rsidR="00F7258F" w:rsidRPr="0054491B" w:rsidRDefault="00F7258F">
      <w:pPr>
        <w:rPr>
          <w:rFonts w:ascii="Arial" w:hAnsi="Arial" w:cs="Arial"/>
        </w:rPr>
      </w:pPr>
    </w:p>
    <w:sectPr w:rsidR="00F7258F" w:rsidRPr="0054491B" w:rsidSect="003D315C">
      <w:headerReference w:type="default" r:id="rId8"/>
      <w:footerReference w:type="default" r:id="rId9"/>
      <w:pgSz w:w="23814" w:h="16840" w:orient="landscape" w:code="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7611" w14:textId="77777777" w:rsidR="00F27C83" w:rsidRDefault="00F27C83" w:rsidP="00142196">
      <w:pPr>
        <w:spacing w:after="0" w:line="240" w:lineRule="auto"/>
      </w:pPr>
      <w:r>
        <w:separator/>
      </w:r>
    </w:p>
  </w:endnote>
  <w:endnote w:type="continuationSeparator" w:id="0">
    <w:p w14:paraId="5BEBA8E5" w14:textId="77777777" w:rsidR="00F27C83" w:rsidRDefault="00F27C83" w:rsidP="0014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0" w:usb1="00000000" w:usb2="07040407"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56744"/>
      <w:docPartObj>
        <w:docPartGallery w:val="Page Numbers (Bottom of Page)"/>
        <w:docPartUnique/>
      </w:docPartObj>
    </w:sdtPr>
    <w:sdtEndPr>
      <w:rPr>
        <w:noProof/>
      </w:rPr>
    </w:sdtEndPr>
    <w:sdtContent>
      <w:p w14:paraId="1FDBC994" w14:textId="2F4A693A" w:rsidR="00D25E17" w:rsidRDefault="00D25E17">
        <w:pPr>
          <w:pStyle w:val="Footer"/>
          <w:jc w:val="right"/>
        </w:pPr>
        <w:r>
          <w:fldChar w:fldCharType="begin"/>
        </w:r>
        <w:r>
          <w:instrText xml:space="preserve"> PAGE   \* MERGEFORMAT </w:instrText>
        </w:r>
        <w:r>
          <w:fldChar w:fldCharType="separate"/>
        </w:r>
        <w:r w:rsidR="00631682">
          <w:rPr>
            <w:noProof/>
          </w:rPr>
          <w:t>3</w:t>
        </w:r>
        <w:r>
          <w:rPr>
            <w:noProof/>
          </w:rPr>
          <w:fldChar w:fldCharType="end"/>
        </w:r>
      </w:p>
    </w:sdtContent>
  </w:sdt>
  <w:p w14:paraId="42F1E8F4" w14:textId="77777777" w:rsidR="00D25E17" w:rsidRDefault="00D2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A712C" w14:textId="77777777" w:rsidR="00F27C83" w:rsidRDefault="00F27C83" w:rsidP="00142196">
      <w:pPr>
        <w:spacing w:after="0" w:line="240" w:lineRule="auto"/>
      </w:pPr>
      <w:r>
        <w:separator/>
      </w:r>
    </w:p>
  </w:footnote>
  <w:footnote w:type="continuationSeparator" w:id="0">
    <w:p w14:paraId="39278E91" w14:textId="77777777" w:rsidR="00F27C83" w:rsidRDefault="00F27C83" w:rsidP="00142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7E6A" w14:textId="3D99E11B" w:rsidR="008C4A1D" w:rsidRPr="005D7BC2" w:rsidRDefault="008C4A1D" w:rsidP="008C4A1D">
    <w:pPr>
      <w:pStyle w:val="Header"/>
      <w:jc w:val="center"/>
      <w:rPr>
        <w:rFonts w:ascii="Arial" w:hAnsi="Arial" w:cs="Arial"/>
        <w:b/>
      </w:rPr>
    </w:pPr>
    <w:r w:rsidRPr="005D7BC2">
      <w:rPr>
        <w:rFonts w:ascii="Arial" w:hAnsi="Arial" w:cs="Arial"/>
        <w:b/>
      </w:rPr>
      <w:t>Our story, our future</w:t>
    </w:r>
  </w:p>
  <w:p w14:paraId="11FD4DAF" w14:textId="602C8552" w:rsidR="008C4A1D" w:rsidRPr="005D7BC2" w:rsidRDefault="008C4A1D" w:rsidP="008C4A1D">
    <w:pPr>
      <w:pStyle w:val="Header"/>
      <w:jc w:val="center"/>
      <w:rPr>
        <w:rFonts w:ascii="Arial" w:hAnsi="Arial" w:cs="Arial"/>
        <w:b/>
      </w:rPr>
    </w:pPr>
    <w:r w:rsidRPr="005D7BC2">
      <w:rPr>
        <w:rFonts w:ascii="Arial" w:hAnsi="Arial" w:cs="Arial"/>
        <w:b/>
      </w:rPr>
      <w:t>Queensland Multicultural Policy and Multicultural Action Plan 2016-17 – 2018-19</w:t>
    </w:r>
  </w:p>
  <w:p w14:paraId="27037A8D" w14:textId="357FA9A6" w:rsidR="008C4A1D" w:rsidRPr="005D7BC2" w:rsidRDefault="008C4A1D" w:rsidP="008C4A1D">
    <w:pPr>
      <w:pStyle w:val="Header"/>
      <w:jc w:val="center"/>
      <w:rPr>
        <w:rFonts w:ascii="Arial" w:hAnsi="Arial" w:cs="Arial"/>
        <w:b/>
        <w:sz w:val="28"/>
        <w:szCs w:val="28"/>
      </w:rPr>
    </w:pPr>
    <w:r w:rsidRPr="005D7BC2">
      <w:rPr>
        <w:rFonts w:ascii="Arial" w:hAnsi="Arial" w:cs="Arial"/>
        <w:b/>
        <w:sz w:val="28"/>
        <w:szCs w:val="28"/>
      </w:rPr>
      <w:t>Annual Report 2017-18</w:t>
    </w:r>
  </w:p>
  <w:p w14:paraId="4B812BF1" w14:textId="113456A8" w:rsidR="008C4A1D" w:rsidRPr="005D7BC2" w:rsidRDefault="00BA6BEC" w:rsidP="008C4A1D">
    <w:pPr>
      <w:pStyle w:val="Header"/>
      <w:jc w:val="center"/>
      <w:rPr>
        <w:rFonts w:ascii="Arial" w:hAnsi="Arial" w:cs="Arial"/>
        <w:b/>
      </w:rPr>
    </w:pPr>
    <w:r>
      <w:rPr>
        <w:rFonts w:ascii="Arial" w:hAnsi="Arial" w:cs="Arial"/>
        <w:b/>
      </w:rPr>
      <w:t>ANTI-DISCRIMINATION COMMISSION QUEENSLAND</w:t>
    </w:r>
  </w:p>
  <w:p w14:paraId="7D9C0AC3" w14:textId="77777777" w:rsidR="008C4A1D" w:rsidRDefault="008C4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76E"/>
    <w:multiLevelType w:val="hybridMultilevel"/>
    <w:tmpl w:val="A7D2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C237050"/>
    <w:multiLevelType w:val="hybridMultilevel"/>
    <w:tmpl w:val="C7F20F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C6D1E7F"/>
    <w:multiLevelType w:val="hybridMultilevel"/>
    <w:tmpl w:val="710AFCAA"/>
    <w:lvl w:ilvl="0" w:tplc="FC08672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ヒラギノ角ゴ Pro W3"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ヒラギノ角ゴ Pro W3"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ヒラギノ角ゴ Pro W3"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A243DF"/>
    <w:multiLevelType w:val="hybridMultilevel"/>
    <w:tmpl w:val="E974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96"/>
    <w:rsid w:val="00067F76"/>
    <w:rsid w:val="0008115E"/>
    <w:rsid w:val="00092816"/>
    <w:rsid w:val="000A574C"/>
    <w:rsid w:val="000D7B22"/>
    <w:rsid w:val="000E1B83"/>
    <w:rsid w:val="00100F8E"/>
    <w:rsid w:val="00126857"/>
    <w:rsid w:val="001326D9"/>
    <w:rsid w:val="00134296"/>
    <w:rsid w:val="00142196"/>
    <w:rsid w:val="0018035D"/>
    <w:rsid w:val="001928E6"/>
    <w:rsid w:val="001A640E"/>
    <w:rsid w:val="001F0608"/>
    <w:rsid w:val="00220034"/>
    <w:rsid w:val="002405AA"/>
    <w:rsid w:val="00264718"/>
    <w:rsid w:val="00275807"/>
    <w:rsid w:val="002811AF"/>
    <w:rsid w:val="002D1993"/>
    <w:rsid w:val="002E577C"/>
    <w:rsid w:val="003035EC"/>
    <w:rsid w:val="00306CAA"/>
    <w:rsid w:val="003118DB"/>
    <w:rsid w:val="00316402"/>
    <w:rsid w:val="00335647"/>
    <w:rsid w:val="003429D9"/>
    <w:rsid w:val="00347C98"/>
    <w:rsid w:val="0035578A"/>
    <w:rsid w:val="003652AC"/>
    <w:rsid w:val="003B6101"/>
    <w:rsid w:val="003D315C"/>
    <w:rsid w:val="003E13F1"/>
    <w:rsid w:val="003E2418"/>
    <w:rsid w:val="00427D66"/>
    <w:rsid w:val="004330A8"/>
    <w:rsid w:val="00435F48"/>
    <w:rsid w:val="004402D6"/>
    <w:rsid w:val="00441EC2"/>
    <w:rsid w:val="004514FF"/>
    <w:rsid w:val="004614A9"/>
    <w:rsid w:val="00476E4A"/>
    <w:rsid w:val="00495A8B"/>
    <w:rsid w:val="004A0828"/>
    <w:rsid w:val="004A3D25"/>
    <w:rsid w:val="004A53DA"/>
    <w:rsid w:val="004C18B0"/>
    <w:rsid w:val="004D5AB7"/>
    <w:rsid w:val="00506C97"/>
    <w:rsid w:val="005217CC"/>
    <w:rsid w:val="00534C28"/>
    <w:rsid w:val="0054491B"/>
    <w:rsid w:val="00557D37"/>
    <w:rsid w:val="00562815"/>
    <w:rsid w:val="005631AB"/>
    <w:rsid w:val="00567CD3"/>
    <w:rsid w:val="00575E0C"/>
    <w:rsid w:val="0057640B"/>
    <w:rsid w:val="005767BA"/>
    <w:rsid w:val="005904EF"/>
    <w:rsid w:val="00597A72"/>
    <w:rsid w:val="005B3F21"/>
    <w:rsid w:val="005D006A"/>
    <w:rsid w:val="005D7BC2"/>
    <w:rsid w:val="005F0B1B"/>
    <w:rsid w:val="00616022"/>
    <w:rsid w:val="00620E0E"/>
    <w:rsid w:val="00622F28"/>
    <w:rsid w:val="00631682"/>
    <w:rsid w:val="00656290"/>
    <w:rsid w:val="00663649"/>
    <w:rsid w:val="006C0B72"/>
    <w:rsid w:val="006F5C66"/>
    <w:rsid w:val="0071498E"/>
    <w:rsid w:val="0076474D"/>
    <w:rsid w:val="0078176A"/>
    <w:rsid w:val="0078455E"/>
    <w:rsid w:val="00791EB2"/>
    <w:rsid w:val="00792BB0"/>
    <w:rsid w:val="0079340E"/>
    <w:rsid w:val="007B234F"/>
    <w:rsid w:val="007C076B"/>
    <w:rsid w:val="007C4BF0"/>
    <w:rsid w:val="007C4DCF"/>
    <w:rsid w:val="007E31A1"/>
    <w:rsid w:val="00827859"/>
    <w:rsid w:val="00853CBB"/>
    <w:rsid w:val="0088053A"/>
    <w:rsid w:val="008829ED"/>
    <w:rsid w:val="0088576C"/>
    <w:rsid w:val="008A2197"/>
    <w:rsid w:val="008B3760"/>
    <w:rsid w:val="008B4750"/>
    <w:rsid w:val="008C4A1D"/>
    <w:rsid w:val="008C7630"/>
    <w:rsid w:val="008F63B5"/>
    <w:rsid w:val="00900049"/>
    <w:rsid w:val="00901C8E"/>
    <w:rsid w:val="00930939"/>
    <w:rsid w:val="009769EF"/>
    <w:rsid w:val="00A14ED4"/>
    <w:rsid w:val="00A546F2"/>
    <w:rsid w:val="00A710A9"/>
    <w:rsid w:val="00A86725"/>
    <w:rsid w:val="00A92A4C"/>
    <w:rsid w:val="00AB4A2F"/>
    <w:rsid w:val="00AD7E66"/>
    <w:rsid w:val="00AF1179"/>
    <w:rsid w:val="00B10DB8"/>
    <w:rsid w:val="00B30231"/>
    <w:rsid w:val="00B32952"/>
    <w:rsid w:val="00B42D01"/>
    <w:rsid w:val="00B55949"/>
    <w:rsid w:val="00B63518"/>
    <w:rsid w:val="00B94CFE"/>
    <w:rsid w:val="00BA6BEC"/>
    <w:rsid w:val="00C026F9"/>
    <w:rsid w:val="00C10DD7"/>
    <w:rsid w:val="00C37777"/>
    <w:rsid w:val="00C542B5"/>
    <w:rsid w:val="00C659A8"/>
    <w:rsid w:val="00C725DC"/>
    <w:rsid w:val="00C8565F"/>
    <w:rsid w:val="00CA079A"/>
    <w:rsid w:val="00CC741B"/>
    <w:rsid w:val="00CD0C10"/>
    <w:rsid w:val="00D05DC2"/>
    <w:rsid w:val="00D25E17"/>
    <w:rsid w:val="00D42CBC"/>
    <w:rsid w:val="00D7102C"/>
    <w:rsid w:val="00DC52C9"/>
    <w:rsid w:val="00DD054C"/>
    <w:rsid w:val="00DD7F0C"/>
    <w:rsid w:val="00E20C0D"/>
    <w:rsid w:val="00E31ECC"/>
    <w:rsid w:val="00E54734"/>
    <w:rsid w:val="00E94B9B"/>
    <w:rsid w:val="00F24837"/>
    <w:rsid w:val="00F27C83"/>
    <w:rsid w:val="00F57B89"/>
    <w:rsid w:val="00F61A64"/>
    <w:rsid w:val="00F711A0"/>
    <w:rsid w:val="00F7258F"/>
    <w:rsid w:val="00F7636D"/>
    <w:rsid w:val="00F83966"/>
    <w:rsid w:val="00FA2497"/>
    <w:rsid w:val="00FC2B34"/>
    <w:rsid w:val="00FD0BD2"/>
    <w:rsid w:val="00FD21B2"/>
    <w:rsid w:val="00FE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00759"/>
  <w14:defaultImageDpi w14:val="0"/>
  <w15:docId w15:val="{5F2C0438-D5CE-4341-B71B-205EB527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sz w:val="16"/>
      <w:szCs w:val="16"/>
    </w:rPr>
  </w:style>
  <w:style w:type="paragraph" w:styleId="CommentText">
    <w:name w:val="annotation text"/>
    <w:basedOn w:val="Normal"/>
    <w:link w:val="CommentTextChar"/>
    <w:uiPriority w:val="99"/>
    <w:semiHidden/>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semiHidden/>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rsid w:val="00A92A4C"/>
    <w:rPr>
      <w:rFonts w:cs="Times New Roman"/>
      <w:b/>
      <w:bCs/>
      <w:sz w:val="20"/>
      <w:szCs w:val="20"/>
    </w:rPr>
  </w:style>
  <w:style w:type="character" w:styleId="Hyperlink">
    <w:name w:val="Hyperlink"/>
    <w:basedOn w:val="DefaultParagraphFont"/>
    <w:uiPriority w:val="99"/>
    <w:unhideWhenUsed/>
    <w:rsid w:val="00F27C83"/>
    <w:rPr>
      <w:color w:val="0563C1" w:themeColor="hyperlink"/>
      <w:u w:val="single"/>
    </w:rPr>
  </w:style>
  <w:style w:type="character" w:styleId="FollowedHyperlink">
    <w:name w:val="FollowedHyperlink"/>
    <w:basedOn w:val="DefaultParagraphFont"/>
    <w:uiPriority w:val="99"/>
    <w:semiHidden/>
    <w:unhideWhenUsed/>
    <w:rsid w:val="00631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38206">
      <w:bodyDiv w:val="1"/>
      <w:marLeft w:val="0"/>
      <w:marRight w:val="0"/>
      <w:marTop w:val="0"/>
      <w:marBottom w:val="0"/>
      <w:divBdr>
        <w:top w:val="none" w:sz="0" w:space="0" w:color="auto"/>
        <w:left w:val="none" w:sz="0" w:space="0" w:color="auto"/>
        <w:bottom w:val="none" w:sz="0" w:space="0" w:color="auto"/>
        <w:right w:val="none" w:sz="0" w:space="0" w:color="auto"/>
      </w:divBdr>
    </w:div>
    <w:div w:id="17130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4AAEC-6E79-42C6-AF31-7D74043E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FFC2D900</Template>
  <TotalTime>3</TotalTime>
  <Pages>3</Pages>
  <Words>549</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Allen-Ankins</dc:creator>
  <cp:keywords/>
  <dc:description/>
  <cp:lastModifiedBy>Mackayla Jeffries</cp:lastModifiedBy>
  <cp:revision>3</cp:revision>
  <cp:lastPrinted>2018-07-06T06:04:00Z</cp:lastPrinted>
  <dcterms:created xsi:type="dcterms:W3CDTF">2018-09-27T00:35:00Z</dcterms:created>
  <dcterms:modified xsi:type="dcterms:W3CDTF">2018-09-27T00:37:00Z</dcterms:modified>
</cp:coreProperties>
</file>